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tbl>
      <w:tblPr>
        <w:tblStyle w:val="style154"/>
        <w:tblW w:w="10060" w:type="dxa"/>
        <w:tblLook w:val="04A0" w:firstRow="1" w:lastRow="0" w:firstColumn="1" w:lastColumn="0" w:noHBand="0" w:noVBand="1"/>
      </w:tblPr>
      <w:tblGrid>
        <w:gridCol w:w="2241"/>
        <w:gridCol w:w="3252"/>
        <w:gridCol w:w="2444"/>
        <w:gridCol w:w="2125"/>
      </w:tblGrid>
      <w:tr>
        <w:trPr>
          <w:trHeight w:val="2400" w:hRule="atLeast"/>
        </w:trPr>
        <w:tc>
          <w:tcPr>
            <w:tcW w:w="165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false" relativeHeight="4" behindDoc="false" locked="false" layoutInCell="true" allowOverlap="true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137160</wp:posOffset>
                  </wp:positionV>
                  <wp:extent cx="1047750" cy="1038224"/>
                  <wp:effectExtent l="0" t="0" r="0" b="9525"/>
                  <wp:wrapThrough wrapText="bothSides">
                    <wp:wrapPolygon edited="false">
                      <wp:start x="0" y="0"/>
                      <wp:lineTo x="0" y="21402"/>
                      <wp:lineTo x="21207" y="21402"/>
                      <wp:lineTo x="21207" y="0"/>
                      <wp:lineTo x="0" y="0"/>
                    </wp:wrapPolygon>
                  </wp:wrapThrough>
                  <wp:docPr id="1026" name="Picture 10" descr="C:\Users\Isa.h\Desktop\1696316056165.jp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/>
                        </pic:nvPicPr>
                        <pic:blipFill>
                          <a:blip r:embed="rId2" cstate="print"/>
                          <a:srcRect l="22655" t="9671" r="31699" b="13456"/>
                          <a:stretch/>
                        </pic:blipFill>
                        <pic:spPr>
                          <a:xfrm rot="0">
                            <a:off x="0" y="0"/>
                            <a:ext cx="1047750" cy="1038224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34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color w:val="2f5496"/>
                <w:sz w:val="20"/>
              </w:rPr>
            </w:pPr>
            <w:r>
              <w:rPr>
                <w:rFonts w:ascii="Times New Roman" w:cs="Times New Roman" w:hAnsi="Times New Roman"/>
                <w:b/>
                <w:color w:val="2f5496"/>
                <w:sz w:val="20"/>
              </w:rPr>
              <w:t>Aysel Əsədova</w:t>
            </w:r>
          </w:p>
          <w:p>
            <w:pPr>
              <w:pStyle w:val="style0"/>
              <w:rPr>
                <w:rFonts w:ascii="Times New Roman" w:cs="Times New Roman" w:hAnsi="Times New Roman"/>
                <w:color w:val="808080"/>
                <w:sz w:val="20"/>
              </w:rPr>
            </w:pPr>
            <w:r>
              <w:rPr>
                <w:rFonts w:ascii="Times New Roman" w:cs="Times New Roman" w:hAnsi="Times New Roman"/>
                <w:color w:val="808080"/>
                <w:sz w:val="20"/>
              </w:rPr>
              <w:t>Müəllim</w:t>
            </w:r>
          </w:p>
          <w:p>
            <w:pPr>
              <w:pStyle w:val="style0"/>
              <w:rPr>
                <w:rFonts w:ascii="Times New Roman" w:cs="Times New Roman" w:hAnsi="Times New Roman"/>
              </w:rPr>
            </w:pPr>
          </w:p>
          <w:p>
            <w:pPr>
              <w:pStyle w:val="style0"/>
              <w:rPr>
                <w:rFonts w:ascii="Times New Roman" w:cs="Times New Roman" w:hAnsi="Times New Roman"/>
                <w:i/>
                <w:color w:val="808080"/>
                <w:sz w:val="20"/>
              </w:rPr>
            </w:pPr>
            <w:r>
              <w:rPr>
                <w:rFonts w:ascii="Times New Roman" w:cs="Times New Roman" w:hAnsi="Times New Roman"/>
                <w:noProof/>
                <w:lang w:val="en-US"/>
              </w:rPr>
              <w:drawing>
                <wp:anchor distT="0" distB="0" distL="114300" distR="114300" simplePos="false" relativeHeight="3" behindDoc="false" locked="false" layoutInCell="true" allowOverlap="true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74930</wp:posOffset>
                  </wp:positionV>
                  <wp:extent cx="218440" cy="215900"/>
                  <wp:effectExtent l="0" t="0" r="0" b="0"/>
                  <wp:wrapSquare wrapText="bothSides"/>
                  <wp:docPr id="1027" name="Picture 8" descr="C:\Users\User\Desktop\64101715-e-posta-simge-tasarımı.jp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8"/>
                          <pic:cNvPicPr/>
                        </pic:nvPicPr>
                        <pic:blipFill>
                          <a:blip r:embed="rId3" cstate="print"/>
                          <a:srcRect l="9126" t="3356" r="8445" b="3457"/>
                          <a:stretch/>
                        </pic:blipFill>
                        <pic:spPr>
                          <a:xfrm rot="0">
                            <a:off x="0" y="0"/>
                            <a:ext cx="218440" cy="215900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cs="Times New Roman" w:hAnsi="Times New Roman"/>
              </w:rPr>
              <w:t xml:space="preserve"> </w:t>
            </w:r>
            <w:r>
              <w:rPr/>
              <w:fldChar w:fldCharType="begin"/>
            </w:r>
            <w:r>
              <w:instrText xml:space="preserve"> HYPERLINK "mailto:ayselesedova@ndu.edu.az" </w:instrText>
            </w:r>
            <w:r>
              <w:rPr/>
              <w:fldChar w:fldCharType="separate"/>
            </w:r>
            <w:r>
              <w:rPr>
                <w:rStyle w:val="style85"/>
                <w:rFonts w:ascii="Times New Roman" w:cs="Times New Roman" w:hAnsi="Times New Roman"/>
                <w:i/>
                <w:sz w:val="20"/>
              </w:rPr>
              <w:t>ayselesedova@ndu.edu.az</w:t>
            </w:r>
            <w:r>
              <w:rPr/>
              <w:fldChar w:fldCharType="end"/>
            </w:r>
          </w:p>
          <w:p>
            <w:pPr>
              <w:pStyle w:val="style0"/>
              <w:rPr>
                <w:rFonts w:ascii="Times New Roman" w:cs="Times New Roman" w:hAnsi="Times New Roman"/>
                <w:i/>
                <w:color w:val="808080"/>
                <w:sz w:val="20"/>
              </w:rPr>
            </w:pPr>
            <w:r>
              <w:rPr>
                <w:rFonts w:ascii="Times New Roman" w:cs="Times New Roman" w:hAnsi="Times New Roman"/>
                <w:i/>
                <w:color w:val="808080"/>
                <w:sz w:val="20"/>
              </w:rPr>
              <w:t xml:space="preserve"> ayselesedova111</w:t>
            </w:r>
            <w:r>
              <w:rPr>
                <w:rFonts w:ascii="Times New Roman" w:cs="Times New Roman" w:hAnsi="Times New Roman"/>
                <w:i/>
                <w:color w:val="808080"/>
                <w:sz w:val="20"/>
                <w:lang w:val="en-US"/>
              </w:rPr>
              <w:t>@</w:t>
            </w:r>
            <w:r>
              <w:rPr>
                <w:rFonts w:ascii="Times New Roman" w:cs="Times New Roman" w:hAnsi="Times New Roman"/>
                <w:i/>
                <w:color w:val="808080"/>
                <w:sz w:val="20"/>
              </w:rPr>
              <w:t>gmail.com</w:t>
            </w:r>
          </w:p>
          <w:p>
            <w:pPr>
              <w:pStyle w:val="style0"/>
              <w:rPr>
                <w:rFonts w:ascii="Times New Roman" w:cs="Times New Roman" w:hAnsi="Times New Roman"/>
              </w:rPr>
            </w:pPr>
          </w:p>
          <w:p>
            <w:pPr>
              <w:pStyle w:val="style0"/>
              <w:rPr>
                <w:rFonts w:ascii="Times New Roman" w:cs="Times New Roman" w:hAnsi="Times New Roman"/>
                <w:color w:val="808080"/>
                <w:sz w:val="20"/>
              </w:rPr>
            </w:pPr>
            <w:r>
              <w:rPr>
                <w:rFonts w:ascii="Times New Roman" w:cs="Times New Roman" w:hAnsi="Times New Roman"/>
                <w:noProof/>
                <w:color w:val="808080"/>
                <w:sz w:val="20"/>
                <w:lang w:val="en-US"/>
              </w:rPr>
              <w:drawing>
                <wp:anchor distT="0" distB="0" distL="114300" distR="114300" simplePos="false" relativeHeight="2" behindDoc="false" locked="false" layoutInCell="true" allowOverlap="true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59690</wp:posOffset>
                  </wp:positionV>
                  <wp:extent cx="234315" cy="205739"/>
                  <wp:effectExtent l="0" t="0" r="0" b="3810"/>
                  <wp:wrapSquare wrapText="bothSides"/>
                  <wp:docPr id="1028" name="Picture 7" descr="C:\Users\User\Desktop\depositphotos_211273078-stock-photo-telephone-symbol-flat-icon-circle.jp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7"/>
                          <pic:cNvPicPr/>
                        </pic:nvPicPr>
                        <pic:blipFill>
                          <a:blip r:embed="rId4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234315" cy="205739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>
            <w:pPr>
              <w:pStyle w:val="style0"/>
              <w:rPr>
                <w:rFonts w:ascii="Times New Roman" w:cs="Times New Roman" w:hAnsi="Times New Roman"/>
                <w:color w:val="808080"/>
                <w:sz w:val="20"/>
              </w:rPr>
            </w:pPr>
          </w:p>
        </w:tc>
        <w:tc>
          <w:tcPr>
            <w:tcW w:w="2674" w:type="dxa"/>
            <w:tcBorders/>
          </w:tcPr>
          <w:p>
            <w:pPr>
              <w:pStyle w:val="style0"/>
              <w:shd w:val="clear" w:color="auto" w:fill="ffffff"/>
              <w:spacing w:after="120"/>
              <w:outlineLvl w:val="3"/>
              <w:rPr>
                <w:rFonts w:ascii="Times New Roman" w:cs="Times New Roman" w:eastAsia="Times New Roman" w:hAnsi="Times New Roman"/>
                <w:b/>
                <w:bCs/>
                <w:color w:val="002060"/>
                <w:sz w:val="16"/>
                <w:szCs w:val="21"/>
                <w:lang w:eastAsia="az-Latn-AZ"/>
              </w:rPr>
            </w:pPr>
            <w:r>
              <w:rPr>
                <w:rFonts w:ascii="Times New Roman" w:cs="Times New Roman" w:eastAsia="Times New Roman" w:hAnsi="Times New Roman"/>
                <w:b/>
                <w:bCs/>
                <w:color w:val="002060"/>
                <w:sz w:val="16"/>
                <w:szCs w:val="21"/>
                <w:lang w:eastAsia="az-Latn-AZ"/>
              </w:rPr>
              <w:t>TƏHSİL HAQQINDA MƏLUMAT</w:t>
            </w:r>
          </w:p>
          <w:p>
            <w:pPr>
              <w:pStyle w:val="style0"/>
              <w:shd w:val="clear" w:color="auto" w:fill="ffffff"/>
              <w:outlineLvl w:val="3"/>
              <w:rPr>
                <w:rFonts w:ascii="Times New Roman" w:cs="Times New Roman" w:eastAsia="Times New Roman" w:hAnsi="Times New Roman"/>
                <w:b/>
                <w:bCs/>
                <w:color w:val="000000"/>
                <w:sz w:val="20"/>
                <w:szCs w:val="21"/>
                <w:lang w:eastAsia="az-Latn-AZ"/>
              </w:rPr>
            </w:pPr>
            <w:r>
              <w:rPr>
                <w:rFonts w:ascii="Times New Roman" w:cs="Times New Roman" w:eastAsia="Times New Roman" w:hAnsi="Times New Roman"/>
                <w:b/>
                <w:bCs/>
                <w:color w:val="000000"/>
                <w:sz w:val="20"/>
                <w:szCs w:val="21"/>
                <w:lang w:eastAsia="az-Latn-AZ"/>
              </w:rPr>
              <w:t>2016-2020</w:t>
            </w:r>
            <w:r>
              <w:rPr>
                <w:rFonts w:ascii="Times New Roman" w:cs="Times New Roman" w:eastAsia="Times New Roman" w:hAnsi="Times New Roman"/>
                <w:b/>
                <w:bCs/>
                <w:color w:val="000000"/>
                <w:sz w:val="20"/>
                <w:szCs w:val="21"/>
                <w:lang w:eastAsia="az-Latn-AZ"/>
              </w:rPr>
              <w:t xml:space="preserve"> Bakalavriat</w:t>
            </w:r>
          </w:p>
          <w:p>
            <w:pPr>
              <w:pStyle w:val="style0"/>
              <w:shd w:val="clear" w:color="auto" w:fill="ffffff"/>
              <w:spacing w:after="120"/>
              <w:outlineLvl w:val="3"/>
              <w:rPr>
                <w:rFonts w:ascii="Times New Roman" w:cs="Times New Roman" w:eastAsia="Times New Roman" w:hAnsi="Times New Roman"/>
                <w:bCs/>
                <w:color w:val="808080"/>
                <w:sz w:val="16"/>
                <w:szCs w:val="21"/>
                <w:lang w:eastAsia="az-Latn-AZ"/>
              </w:rPr>
            </w:pPr>
            <w:r>
              <w:rPr>
                <w:rFonts w:ascii="Times New Roman" w:cs="Times New Roman" w:eastAsia="Times New Roman" w:hAnsi="Times New Roman"/>
                <w:bCs/>
                <w:color w:val="808080"/>
                <w:sz w:val="16"/>
                <w:szCs w:val="21"/>
                <w:lang w:eastAsia="az-Latn-AZ"/>
              </w:rPr>
              <w:t>Naxçıva</w:t>
            </w:r>
            <w:r>
              <w:rPr>
                <w:rFonts w:ascii="Times New Roman" w:cs="Times New Roman" w:eastAsia="Times New Roman" w:hAnsi="Times New Roman"/>
                <w:bCs/>
                <w:color w:val="808080"/>
                <w:sz w:val="16"/>
                <w:szCs w:val="21"/>
                <w:lang w:eastAsia="az-Latn-AZ"/>
              </w:rPr>
              <w:t>n Dövlət Universiteti. Xarici dil müəllimliyi(İngilis dili)</w:t>
            </w:r>
          </w:p>
          <w:p>
            <w:pPr>
              <w:pStyle w:val="style0"/>
              <w:shd w:val="clear" w:color="auto" w:fill="ffffff"/>
              <w:outlineLvl w:val="3"/>
              <w:rPr>
                <w:rFonts w:ascii="Times New Roman" w:cs="Times New Roman" w:eastAsia="Times New Roman" w:hAnsi="Times New Roman"/>
                <w:b/>
                <w:bCs/>
                <w:color w:val="000000"/>
                <w:sz w:val="20"/>
                <w:szCs w:val="21"/>
                <w:lang w:eastAsia="az-Latn-AZ"/>
              </w:rPr>
            </w:pPr>
            <w:r>
              <w:rPr>
                <w:rFonts w:ascii="Times New Roman" w:cs="Times New Roman" w:eastAsia="Times New Roman" w:hAnsi="Times New Roman"/>
                <w:b/>
                <w:bCs/>
                <w:color w:val="000000"/>
                <w:sz w:val="20"/>
                <w:szCs w:val="21"/>
                <w:lang w:eastAsia="az-Latn-AZ"/>
              </w:rPr>
              <w:t>2020-2022</w:t>
            </w:r>
            <w:r>
              <w:rPr>
                <w:rFonts w:ascii="Times New Roman" w:cs="Times New Roman" w:eastAsia="Times New Roman" w:hAnsi="Times New Roman"/>
                <w:b/>
                <w:bCs/>
                <w:color w:val="000000"/>
                <w:sz w:val="20"/>
                <w:szCs w:val="21"/>
                <w:lang w:eastAsia="az-Latn-AZ"/>
              </w:rPr>
              <w:t xml:space="preserve"> Magistratura</w:t>
            </w:r>
          </w:p>
          <w:p>
            <w:pPr>
              <w:pStyle w:val="style0"/>
              <w:shd w:val="clear" w:color="auto" w:fill="ffffff"/>
              <w:spacing w:after="120"/>
              <w:outlineLvl w:val="3"/>
              <w:rPr>
                <w:rFonts w:ascii="Times New Roman" w:cs="Times New Roman" w:eastAsia="Times New Roman" w:hAnsi="Times New Roman"/>
                <w:bCs/>
                <w:color w:val="808080"/>
                <w:sz w:val="16"/>
                <w:szCs w:val="21"/>
                <w:lang w:eastAsia="az-Latn-AZ"/>
              </w:rPr>
            </w:pPr>
            <w:r>
              <w:rPr>
                <w:rFonts w:ascii="Times New Roman" w:cs="Times New Roman" w:eastAsia="Times New Roman" w:hAnsi="Times New Roman"/>
                <w:bCs/>
                <w:color w:val="808080"/>
                <w:sz w:val="16"/>
                <w:szCs w:val="21"/>
                <w:lang w:eastAsia="az-Latn-AZ"/>
              </w:rPr>
              <w:t>Naxçıvan Dövlət Uni</w:t>
            </w:r>
            <w:r>
              <w:rPr>
                <w:rFonts w:ascii="Times New Roman" w:cs="Times New Roman" w:eastAsia="Times New Roman" w:hAnsi="Times New Roman"/>
                <w:bCs/>
                <w:color w:val="808080"/>
                <w:sz w:val="16"/>
                <w:szCs w:val="21"/>
                <w:lang w:eastAsia="az-Latn-AZ"/>
              </w:rPr>
              <w:t>versiteti. Dilşünaslıq(İngilis dili)</w:t>
            </w:r>
          </w:p>
          <w:p>
            <w:pPr>
              <w:pStyle w:val="style0"/>
              <w:shd w:val="clear" w:color="auto" w:fill="ffffff"/>
              <w:spacing w:after="100" w:afterAutospacing="true"/>
              <w:outlineLvl w:val="3"/>
              <w:rPr>
                <w:rFonts w:ascii="Times New Roman" w:cs="Times New Roman" w:eastAsia="Times New Roman" w:hAnsi="Times New Roman"/>
                <w:bCs/>
                <w:color w:val="000000"/>
                <w:sz w:val="12"/>
                <w:szCs w:val="21"/>
                <w:lang w:eastAsia="az-Latn-AZ"/>
              </w:rPr>
            </w:pPr>
          </w:p>
        </w:tc>
        <w:tc>
          <w:tcPr>
            <w:tcW w:w="239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16"/>
              </w:rPr>
            </w:pPr>
            <w:r>
              <w:rPr>
                <w:rFonts w:ascii="Times New Roman" w:cs="Times New Roman" w:hAnsi="Times New Roman"/>
                <w:b/>
                <w:sz w:val="16"/>
              </w:rPr>
              <w:t>TƏDQİQAT SAHƏLƏRİ</w:t>
            </w:r>
          </w:p>
          <w:p>
            <w:pPr>
              <w:pStyle w:val="style0"/>
              <w:rPr>
                <w:rFonts w:ascii="Times New Roman" w:cs="Times New Roman" w:hAnsi="Times New Roman"/>
                <w:b/>
                <w:sz w:val="16"/>
              </w:rPr>
            </w:pPr>
          </w:p>
          <w:p>
            <w:pPr>
              <w:pStyle w:val="style0"/>
              <w:rPr>
                <w:rFonts w:ascii="Times New Roman" w:cs="Times New Roman" w:hAnsi="Times New Roman"/>
                <w:color w:val="808080"/>
                <w:sz w:val="16"/>
              </w:rPr>
            </w:pPr>
            <w:r>
              <w:rPr>
                <w:rFonts w:ascii="Times New Roman" w:cs="Times New Roman" w:hAnsi="Times New Roman"/>
                <w:color w:val="808080"/>
                <w:sz w:val="16"/>
              </w:rPr>
              <w:t>Dilçilik</w:t>
            </w:r>
          </w:p>
          <w:p>
            <w:pPr>
              <w:pStyle w:val="style0"/>
              <w:rPr>
                <w:rFonts w:ascii="Times New Roman" w:cs="Times New Roman" w:hAnsi="Times New Roman"/>
                <w:color w:val="808080"/>
                <w:sz w:val="16"/>
              </w:rPr>
            </w:pPr>
            <w:r>
              <w:rPr>
                <w:rFonts w:ascii="Times New Roman" w:cs="Times New Roman" w:hAnsi="Times New Roman"/>
                <w:color w:val="808080"/>
                <w:sz w:val="16"/>
              </w:rPr>
              <w:t>German dilləri</w:t>
            </w:r>
          </w:p>
          <w:p>
            <w:pPr>
              <w:pStyle w:val="style0"/>
              <w:rPr>
                <w:rFonts w:ascii="Times New Roman" w:cs="Times New Roman" w:hAnsi="Times New Roman"/>
                <w:color w:val="808080"/>
                <w:sz w:val="16"/>
              </w:rPr>
            </w:pPr>
            <w:r>
              <w:rPr>
                <w:rFonts w:ascii="Times New Roman" w:cs="Times New Roman" w:hAnsi="Times New Roman"/>
                <w:color w:val="808080"/>
                <w:sz w:val="16"/>
                <w:szCs w:val="24"/>
              </w:rPr>
              <w:t>Xarici dilin tədrisi metodikası</w:t>
            </w:r>
          </w:p>
        </w:tc>
      </w:tr>
      <w:tr>
        <w:tblPrEx/>
        <w:trPr/>
        <w:tc>
          <w:tcPr>
            <w:tcW w:w="165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334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noProof/>
                <w:lang w:eastAsia="az-Latn-AZ"/>
              </w:rPr>
              <w:t xml:space="preserve">                          </w:t>
            </w:r>
            <w:r>
              <w:rPr>
                <w:rFonts w:ascii="Times New Roman" w:cs="Times New Roman" w:hAnsi="Times New Roman"/>
                <w:noProof/>
                <w:lang w:val="en-US"/>
              </w:rPr>
              <w:drawing>
                <wp:inline distL="0" distT="0" distB="0" distR="0">
                  <wp:extent cx="251999" cy="251999"/>
                  <wp:effectExtent l="0" t="0" r="0" b="0"/>
                  <wp:docPr id="1029" name="Picture 9" descr="C:\Users\User\Desktop\png-transparent-web-development-world-wide-web-computer-icons-website-world-wide-web-icon-globe-with-arrow-logo-miscellaneous-web-design-logo-thumbnail.pn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9"/>
                          <pic:cNvPicPr/>
                        </pic:nvPicPr>
                        <pic:blipFill>
                          <a:blip r:embed="rId5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251999" cy="251999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4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color w:val="ff0000"/>
              </w:rPr>
              <w:t>Veb səhifəyə keçid</w:t>
            </w:r>
          </w:p>
        </w:tc>
        <w:tc>
          <w:tcPr>
            <w:tcW w:w="239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  <w:bookmarkStart w:id="0" w:name="_GoBack"/>
          <w:bookmarkEnd w:id="0"/>
        </w:tc>
      </w:tr>
      <w:tr>
        <w:tblPrEx/>
        <w:trPr/>
        <w:tc>
          <w:tcPr>
            <w:tcW w:w="165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334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2674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239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</w:tr>
    </w:tbl>
    <w:p>
      <w:pPr>
        <w:pStyle w:val="style0"/>
        <w:rPr>
          <w:rFonts w:ascii="Times New Roman" w:cs="Times New Roman" w:hAnsi="Times New Roman"/>
        </w:rPr>
      </w:pPr>
    </w:p>
    <w:p>
      <w:pPr>
        <w:pStyle w:val="style0"/>
        <w:rPr>
          <w:rFonts w:ascii="Times New Roman" w:cs="Times New Roman" w:hAnsi="Times New Roman"/>
          <w:color w:val="808080"/>
          <w:lang w:val="en-US"/>
        </w:rPr>
      </w:pPr>
    </w:p>
    <w:tbl>
      <w:tblPr>
        <w:tblStyle w:val="style154"/>
        <w:tblW w:w="0" w:type="auto"/>
        <w:tblLook w:val="04A0" w:firstRow="1" w:lastRow="0" w:firstColumn="1" w:lastColumn="0" w:noHBand="0" w:noVBand="1"/>
      </w:tblPr>
      <w:tblGrid>
        <w:gridCol w:w="562"/>
        <w:gridCol w:w="7893"/>
      </w:tblGrid>
      <w:tr>
        <w:trPr>
          <w:trHeight w:val="274" w:hRule="atLeast"/>
        </w:trPr>
        <w:tc>
          <w:tcPr>
            <w:tcW w:w="5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noProof/>
                <w:lang w:val="en-US"/>
              </w:rPr>
              <w:drawing>
                <wp:inline distL="0" distT="0" distB="0" distR="0">
                  <wp:extent cx="177677" cy="180000"/>
                  <wp:effectExtent l="0" t="0" r="0" b="0"/>
                  <wp:docPr id="1030" name="Picture 5" descr="C:\Users\User\Desktop\images (1).pn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5"/>
                          <pic:cNvPicPr/>
                        </pic:nvPicPr>
                        <pic:blipFill>
                          <a:blip r:embed="rId6" cstate="print"/>
                          <a:srcRect l="12594" t="11605" r="11829" b="11830"/>
                          <a:stretch/>
                        </pic:blipFill>
                        <pic:spPr>
                          <a:xfrm rot="0">
                            <a:off x="0" y="0"/>
                            <a:ext cx="177677" cy="180000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9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https://orcid.org/my-orcid?orcid=0009-0005-5757-9257</w:t>
            </w:r>
          </w:p>
        </w:tc>
      </w:tr>
      <w:tr>
        <w:tblPrEx/>
        <w:trPr/>
        <w:tc>
          <w:tcPr>
            <w:tcW w:w="5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noProof/>
                <w:lang w:val="en-US"/>
              </w:rPr>
              <w:drawing>
                <wp:inline distL="0" distT="0" distB="0" distR="0">
                  <wp:extent cx="184994" cy="184994"/>
                  <wp:effectExtent l="0" t="0" r="5715" b="5715"/>
                  <wp:docPr id="1031" name="Picture 1" descr="C:\Users\User\Desktop\20240730054354_social1.pn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1"/>
                          <pic:cNvPicPr/>
                        </pic:nvPicPr>
                        <pic:blipFill>
                          <a:blip r:embed="rId7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184994" cy="184994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9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https://service.elsevier.com/app/home/supporthub/scopus/</w:t>
            </w:r>
          </w:p>
        </w:tc>
      </w:tr>
      <w:tr>
        <w:tblPrEx/>
        <w:trPr/>
        <w:tc>
          <w:tcPr>
            <w:tcW w:w="5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noProof/>
                <w:lang w:val="en-US"/>
              </w:rPr>
              <w:drawing>
                <wp:inline distL="0" distT="0" distB="0" distR="0">
                  <wp:extent cx="174423" cy="174423"/>
                  <wp:effectExtent l="0" t="0" r="0" b="0"/>
                  <wp:docPr id="1032" name="Picture 2" descr="C:\Users\User\Desktop\Publons-logo.pn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2"/>
                          <pic:cNvPicPr/>
                        </pic:nvPicPr>
                        <pic:blipFill>
                          <a:blip r:embed="rId8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174423" cy="174423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9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https://www.webofscience.com/wos/author/record/LNR-8186-2024</w:t>
            </w:r>
          </w:p>
        </w:tc>
      </w:tr>
      <w:tr>
        <w:tblPrEx/>
        <w:trPr/>
        <w:tc>
          <w:tcPr>
            <w:tcW w:w="5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noProof/>
                <w:lang w:val="en-US"/>
              </w:rPr>
              <w:drawing>
                <wp:inline distL="0" distT="0" distB="0" distR="0">
                  <wp:extent cx="200851" cy="200851"/>
                  <wp:effectExtent l="0" t="0" r="8890" b="8890"/>
                  <wp:docPr id="1033" name="Picture 3" descr="C:\Users\User\Desktop\images.png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3"/>
                          <pic:cNvPicPr/>
                        </pic:nvPicPr>
                        <pic:blipFill>
                          <a:blip r:embed="rId9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200851" cy="200851"/>
                          </a:xfrm>
                          <a:prstGeom prst="rect"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9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https://scholar.google.com/citations?user=wAm-0sIAAAAJ&amp;hl=tr&amp;authuser=1</w:t>
            </w:r>
          </w:p>
        </w:tc>
      </w:tr>
      <w:tr>
        <w:tblPrEx/>
        <w:trPr/>
        <w:tc>
          <w:tcPr>
            <w:tcW w:w="5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noProof/>
                <w:lang w:val="en-US"/>
              </w:rPr>
            </w:pPr>
            <w:r>
              <w:rPr>
                <w:rFonts w:ascii="Times New Roman" w:cs="Times New Roman" w:hAnsi="Times New Roman"/>
                <w:noProof/>
                <w:lang w:val="en-US"/>
              </w:rPr>
              <w:t>RG</w:t>
            </w:r>
          </w:p>
        </w:tc>
        <w:tc>
          <w:tcPr>
            <w:tcW w:w="789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https://www.researchg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ate.net/profile/Aysel-Asadova-2/research</w:t>
            </w:r>
          </w:p>
        </w:tc>
      </w:tr>
    </w:tbl>
    <w:p>
      <w:pPr>
        <w:pStyle w:val="style0"/>
        <w:rPr>
          <w:rFonts w:ascii="Times New Roman" w:cs="Times New Roman" w:hAnsi="Times New Roman"/>
        </w:rPr>
      </w:pPr>
    </w:p>
    <w:p>
      <w:pPr>
        <w:pStyle w:val="style0"/>
        <w:rPr>
          <w:rFonts w:ascii="Times New Roman" w:cs="Times New Roman" w:hAnsi="Times New Roman"/>
        </w:rPr>
      </w:pPr>
    </w:p>
    <w:p>
      <w:pPr>
        <w:pStyle w:val="style179"/>
        <w:numPr>
          <w:ilvl w:val="0"/>
          <w:numId w:val="1"/>
        </w:numPr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ÜMUMİ MƏLUMATLAR</w:t>
      </w:r>
    </w:p>
    <w:tbl>
      <w:tblPr>
        <w:tblStyle w:val="style154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>
        <w:trPr/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b/>
                <w:color w:val="ff0000"/>
              </w:rPr>
              <w:t>Nəşrlər və metriklər</w:t>
            </w:r>
          </w:p>
        </w:tc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300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</w:tr>
      <w:tr>
        <w:tblPrEx/>
        <w:trPr/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Nəşr sayı:</w:t>
            </w:r>
            <w:r>
              <w:rPr>
                <w:rFonts w:ascii="Times New Roman" w:cs="Times New Roman" w:hAnsi="Times New Roman"/>
                <w:color w:val="808080"/>
              </w:rPr>
              <w:t xml:space="preserve"> 8</w:t>
            </w:r>
          </w:p>
        </w:tc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H index (Google scholar):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  <w:r>
              <w:rPr>
                <w:rFonts w:ascii="Times New Roman" w:cs="Times New Roman" w:hAnsi="Times New Roman"/>
                <w:b/>
              </w:rPr>
              <w:t>1</w:t>
            </w:r>
          </w:p>
        </w:tc>
        <w:tc>
          <w:tcPr>
            <w:tcW w:w="300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İstinad (Google scholar):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  <w:r>
              <w:rPr>
                <w:rFonts w:ascii="Times New Roman" w:cs="Times New Roman" w:hAnsi="Times New Roman"/>
                <w:b/>
              </w:rPr>
              <w:t>1</w:t>
            </w:r>
          </w:p>
        </w:tc>
      </w:tr>
      <w:tr>
        <w:tblPrEx/>
        <w:trPr/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</w:rPr>
            </w:pPr>
            <w:r>
              <w:rPr>
                <w:rFonts w:ascii="Times New Roman" w:cs="Times New Roman" w:hAnsi="Times New Roman"/>
                <w:color w:val="808080"/>
              </w:rPr>
              <w:t>Dərslik</w:t>
            </w:r>
            <w:r>
              <w:rPr>
                <w:rFonts w:ascii="Times New Roman" w:cs="Times New Roman" w:hAnsi="Times New Roman"/>
                <w:color w:val="808080"/>
              </w:rPr>
              <w:t>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</w:p>
        </w:tc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H index (Scopus):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</w:p>
        </w:tc>
        <w:tc>
          <w:tcPr>
            <w:tcW w:w="300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İstinad (Scopus):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</w:p>
        </w:tc>
      </w:tr>
      <w:tr>
        <w:tblPrEx/>
        <w:trPr/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Monoqrafiya</w:t>
            </w:r>
            <w:r>
              <w:rPr>
                <w:rFonts w:ascii="Times New Roman" w:cs="Times New Roman" w:hAnsi="Times New Roman"/>
                <w:b/>
                <w:color w:val="808080"/>
              </w:rPr>
              <w:t>:</w:t>
            </w:r>
            <w:r>
              <w:rPr>
                <w:rFonts w:ascii="Times New Roman" w:cs="Times New Roman" w:hAnsi="Times New Roman"/>
                <w:b/>
              </w:rPr>
              <w:t xml:space="preserve"> </w:t>
            </w:r>
          </w:p>
        </w:tc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 xml:space="preserve">H index (Web of science): </w:t>
            </w:r>
          </w:p>
        </w:tc>
        <w:tc>
          <w:tcPr>
            <w:tcW w:w="300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İstinad (Web of science):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</w:p>
        </w:tc>
      </w:tr>
      <w:tr>
        <w:tblPrEx/>
        <w:trPr/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Dərs və metodik vəsait: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</w:p>
        </w:tc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 xml:space="preserve">Qrant: </w:t>
            </w:r>
          </w:p>
        </w:tc>
        <w:tc>
          <w:tcPr>
            <w:tcW w:w="300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 xml:space="preserve">Jurnal redaktorluğu: </w:t>
            </w:r>
          </w:p>
        </w:tc>
      </w:tr>
      <w:tr>
        <w:tblPrEx/>
        <w:trPr/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Məqalə və tezis: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  <w:r>
              <w:rPr>
                <w:rFonts w:ascii="Times New Roman" w:cs="Times New Roman" w:hAnsi="Times New Roman"/>
                <w:color w:val="808080"/>
              </w:rPr>
              <w:t>8</w:t>
            </w:r>
          </w:p>
        </w:tc>
        <w:tc>
          <w:tcPr>
            <w:tcW w:w="300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>Patent:</w:t>
            </w:r>
            <w:r>
              <w:rPr>
                <w:rFonts w:ascii="Times New Roman" w:cs="Times New Roman" w:hAnsi="Times New Roman"/>
                <w:color w:val="808080"/>
              </w:rPr>
              <w:t xml:space="preserve"> </w:t>
            </w:r>
          </w:p>
        </w:tc>
        <w:tc>
          <w:tcPr>
            <w:tcW w:w="300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color w:val="808080"/>
              </w:rPr>
            </w:pPr>
            <w:r>
              <w:rPr>
                <w:rFonts w:ascii="Times New Roman" w:cs="Times New Roman" w:hAnsi="Times New Roman"/>
                <w:color w:val="808080"/>
              </w:rPr>
              <w:t xml:space="preserve">Hakimlik: </w:t>
            </w:r>
          </w:p>
        </w:tc>
      </w:tr>
    </w:tbl>
    <w:p>
      <w:pPr>
        <w:pStyle w:val="style0"/>
        <w:rPr>
          <w:rFonts w:ascii="Times New Roman" w:cs="Times New Roman" w:hAnsi="Times New Roman"/>
        </w:rPr>
      </w:pPr>
    </w:p>
    <w:tbl>
      <w:tblPr>
        <w:tblStyle w:val="style15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901"/>
        <w:gridCol w:w="901"/>
        <w:gridCol w:w="901"/>
        <w:gridCol w:w="902"/>
        <w:gridCol w:w="902"/>
        <w:gridCol w:w="902"/>
        <w:gridCol w:w="902"/>
        <w:gridCol w:w="902"/>
        <w:gridCol w:w="902"/>
      </w:tblGrid>
      <w:tr>
        <w:trPr/>
        <w:tc>
          <w:tcPr>
            <w:tcW w:w="9016" w:type="dxa"/>
            <w:gridSpan w:val="10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color w:val="ff0000"/>
              </w:rPr>
            </w:pPr>
            <w:r>
              <w:rPr>
                <w:rFonts w:ascii="Times New Roman" w:cs="Times New Roman" w:hAnsi="Times New Roman"/>
                <w:b/>
                <w:color w:val="ff0000"/>
              </w:rPr>
              <w:t>BMT-nin Dayanıqlı İnkişaf Məqsədlərinə töhfə</w:t>
            </w:r>
          </w:p>
          <w:p>
            <w:pPr>
              <w:pStyle w:val="style0"/>
              <w:rPr>
                <w:rFonts w:ascii="Times New Roman" w:cs="Times New Roman" w:hAnsi="Times New Roman"/>
                <w:b/>
                <w:color w:val="ff0000"/>
              </w:rPr>
            </w:pPr>
          </w:p>
          <w:tbl>
            <w:tblPr>
              <w:tblStyle w:val="style154"/>
              <w:tblW w:w="0" w:type="auto"/>
              <w:tblLook w:val="04A0" w:firstRow="1" w:lastRow="0" w:firstColumn="1" w:lastColumn="0" w:noHBand="0" w:noVBand="1"/>
            </w:tblPr>
            <w:tblGrid>
              <w:gridCol w:w="1023"/>
              <w:gridCol w:w="7767"/>
            </w:tblGrid>
            <w:tr>
              <w:trPr/>
              <w:tc>
                <w:tcPr>
                  <w:tcW w:w="1023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  <w:tc>
                <w:tcPr>
                  <w:tcW w:w="7767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</w:tr>
            <w:tr>
              <w:tblPrEx/>
              <w:trPr/>
              <w:tc>
                <w:tcPr>
                  <w:tcW w:w="1023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  <w:tc>
                <w:tcPr>
                  <w:tcW w:w="7767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</w:tr>
            <w:tr>
              <w:tblPrEx/>
              <w:trPr/>
              <w:tc>
                <w:tcPr>
                  <w:tcW w:w="1023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  <w:tc>
                <w:tcPr>
                  <w:tcW w:w="7767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</w:tr>
            <w:tr>
              <w:tblPrEx/>
              <w:trPr/>
              <w:tc>
                <w:tcPr>
                  <w:tcW w:w="1023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  <w:tc>
                <w:tcPr>
                  <w:tcW w:w="7767" w:type="dxa"/>
                  <w:tcBorders/>
                </w:tcPr>
                <w:p>
                  <w:pPr>
                    <w:pStyle w:val="style0"/>
                    <w:rPr>
                      <w:rFonts w:ascii="Times New Roman" w:cs="Times New Roman" w:hAnsi="Times New Roman"/>
                      <w:b/>
                    </w:rPr>
                  </w:pPr>
                </w:p>
              </w:tc>
            </w:tr>
          </w:tbl>
          <w:p>
            <w:pPr>
              <w:pStyle w:val="style0"/>
              <w:rPr>
                <w:rFonts w:ascii="Times New Roman" w:cs="Times New Roman" w:hAnsi="Times New Roman"/>
                <w:b/>
              </w:rPr>
            </w:pPr>
          </w:p>
        </w:tc>
      </w:tr>
      <w:tr>
        <w:tblPrEx/>
        <w:trPr/>
        <w:tc>
          <w:tcPr>
            <w:tcW w:w="901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1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1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1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  <w:tc>
          <w:tcPr>
            <w:tcW w:w="90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</w:rPr>
            </w:pPr>
          </w:p>
        </w:tc>
      </w:tr>
    </w:tbl>
    <w:p>
      <w:pPr>
        <w:pStyle w:val="style0"/>
        <w:rPr>
          <w:rFonts w:ascii="Times New Roman" w:cs="Times New Roman" w:hAnsi="Times New Roman"/>
        </w:rPr>
      </w:pPr>
    </w:p>
    <w:tbl>
      <w:tblPr>
        <w:tblStyle w:val="style154"/>
        <w:tblW w:w="9254" w:type="dxa"/>
        <w:tblLook w:val="04A0" w:firstRow="1" w:lastRow="0" w:firstColumn="1" w:lastColumn="0" w:noHBand="0" w:noVBand="1"/>
      </w:tblPr>
      <w:tblGrid>
        <w:gridCol w:w="2122"/>
        <w:gridCol w:w="7132"/>
      </w:tblGrid>
      <w:tr>
        <w:trPr>
          <w:trHeight w:val="316" w:hRule="atLeast"/>
        </w:trPr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color w:val="ff0000"/>
                <w:sz w:val="20"/>
              </w:rPr>
              <w:t>Əlaqə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</w:p>
        </w:tc>
      </w:tr>
      <w:tr>
        <w:tblPrEx/>
        <w:trPr/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İnstitusional e-poçt: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  <w:lang w:val="en-US"/>
              </w:rPr>
            </w:pPr>
            <w:r>
              <w:rPr>
                <w:rFonts w:ascii="Times New Roman" w:cs="Times New Roman" w:hAnsi="Times New Roman"/>
                <w:sz w:val="20"/>
              </w:rPr>
              <w:t>ayselesedova</w:t>
            </w:r>
            <w:r>
              <w:rPr>
                <w:rFonts w:ascii="Times New Roman" w:cs="Times New Roman" w:hAnsi="Times New Roman"/>
                <w:sz w:val="20"/>
                <w:lang w:val="en-US"/>
              </w:rPr>
              <w:t>@ndu.edu.az</w:t>
            </w:r>
          </w:p>
        </w:tc>
      </w:tr>
      <w:tr>
        <w:tblPrEx/>
        <w:trPr/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Digər e-poçt: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  <w:r>
              <w:rPr>
                <w:rFonts w:ascii="Times New Roman" w:cs="Times New Roman" w:hAnsi="Times New Roman"/>
                <w:sz w:val="20"/>
              </w:rPr>
              <w:t xml:space="preserve">   </w:t>
            </w:r>
            <w:r>
              <w:rPr>
                <w:rFonts w:ascii="Times New Roman" w:cs="Times New Roman" w:hAnsi="Times New Roman"/>
                <w:sz w:val="20"/>
              </w:rPr>
              <w:t>ayselesedova111@gmail.com</w:t>
            </w:r>
          </w:p>
        </w:tc>
      </w:tr>
      <w:tr>
        <w:tblPrEx/>
        <w:trPr/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  <w:lang w:val="en-US"/>
              </w:rPr>
              <w:t>Web s</w:t>
            </w:r>
            <w:r>
              <w:rPr>
                <w:rFonts w:ascii="Times New Roman" w:cs="Times New Roman" w:hAnsi="Times New Roman"/>
                <w:b/>
                <w:sz w:val="20"/>
              </w:rPr>
              <w:t>əhifəsi: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  <w:r>
              <w:rPr>
                <w:rFonts w:ascii="Times New Roman" w:cs="Times New Roman" w:hAnsi="Times New Roman"/>
                <w:sz w:val="20"/>
              </w:rPr>
              <w:t>https://ndu.edu.az/ayselesdova</w:t>
            </w:r>
          </w:p>
        </w:tc>
      </w:tr>
      <w:tr>
        <w:tblPrEx/>
        <w:trPr/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İş telefonu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</w:p>
        </w:tc>
      </w:tr>
      <w:tr>
        <w:tblPrEx/>
        <w:trPr/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Mobil: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</w:p>
        </w:tc>
      </w:tr>
      <w:tr>
        <w:tblPrEx/>
        <w:trPr/>
        <w:tc>
          <w:tcPr>
            <w:tcW w:w="212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Yaşayış ünvanı:</w:t>
            </w:r>
          </w:p>
        </w:tc>
        <w:tc>
          <w:tcPr>
            <w:tcW w:w="713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  <w:r>
              <w:rPr>
                <w:rFonts w:ascii="Times New Roman" w:cs="Times New Roman" w:hAnsi="Times New Roman"/>
                <w:sz w:val="20"/>
              </w:rPr>
              <w:t>Azərbaycan Respublikası, Naxçıvan Muxtar Respublikası, Naxçıvan şəhə</w:t>
            </w:r>
            <w:r>
              <w:rPr>
                <w:rFonts w:ascii="Times New Roman" w:cs="Times New Roman" w:hAnsi="Times New Roman"/>
                <w:sz w:val="20"/>
              </w:rPr>
              <w:t>ri, Əcəmi 37,m 7</w:t>
            </w:r>
          </w:p>
        </w:tc>
      </w:tr>
    </w:tbl>
    <w:p>
      <w:pPr>
        <w:pStyle w:val="style0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_________________________________________________________________________________</w:t>
      </w:r>
    </w:p>
    <w:p>
      <w:pPr>
        <w:pStyle w:val="style179"/>
        <w:numPr>
          <w:ilvl w:val="0"/>
          <w:numId w:val="1"/>
        </w:numPr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TƏDQİQAT SAHƏLƏRİ</w:t>
      </w:r>
    </w:p>
    <w:p>
      <w:pPr>
        <w:pStyle w:val="style179"/>
        <w:pBdr>
          <w:bottom w:val="single" w:sz="12" w:space="1" w:color="auto"/>
        </w:pBdr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Dilçilik</w:t>
      </w:r>
      <w:r>
        <w:rPr>
          <w:rFonts w:ascii="Times New Roman" w:cs="Times New Roman" w:hAnsi="Times New Roman"/>
        </w:rPr>
        <w:t xml:space="preserve">, German dilləri, Xarici dilin tədrisi metodikası </w:t>
      </w:r>
    </w:p>
    <w:p>
      <w:pPr>
        <w:pStyle w:val="style0"/>
        <w:rPr>
          <w:rFonts w:ascii="Times New Roman" w:cs="Times New Roman" w:hAnsi="Times New Roman"/>
        </w:rPr>
      </w:pPr>
    </w:p>
    <w:p>
      <w:pPr>
        <w:pStyle w:val="style179"/>
        <w:numPr>
          <w:ilvl w:val="0"/>
          <w:numId w:val="1"/>
        </w:numPr>
        <w:spacing w:before="120" w:after="240"/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AKADEMİK İŞ TƏCRÜBƏSİ</w:t>
      </w:r>
    </w:p>
    <w:tbl>
      <w:tblPr>
        <w:tblStyle w:val="style154"/>
        <w:tblW w:w="0" w:type="auto"/>
        <w:tblInd w:w="720" w:type="dxa"/>
        <w:tblLook w:val="04A0" w:firstRow="1" w:lastRow="0" w:firstColumn="1" w:lastColumn="0" w:noHBand="0" w:noVBand="1"/>
      </w:tblPr>
      <w:tblGrid>
        <w:gridCol w:w="4237"/>
      </w:tblGrid>
      <w:tr>
        <w:trPr/>
        <w:tc>
          <w:tcPr>
            <w:tcW w:w="4237" w:type="dxa"/>
            <w:tcBorders/>
          </w:tcPr>
          <w:p>
            <w:pPr>
              <w:pStyle w:val="style179"/>
              <w:spacing w:after="60"/>
              <w:ind w:left="0"/>
              <w:rPr>
                <w:rFonts w:ascii="Times New Roman" w:cs="Times New Roman" w:hAnsi="Times New Roman"/>
                <w:b/>
              </w:rPr>
            </w:pPr>
            <w:r>
              <w:rPr>
                <w:rFonts w:ascii="Times New Roman" w:cs="Times New Roman" w:hAnsi="Times New Roman"/>
                <w:b/>
                <w:color w:val="c00000"/>
              </w:rPr>
              <w:t>Akademik ünvanlar</w:t>
            </w:r>
          </w:p>
        </w:tc>
      </w:tr>
      <w:tr>
        <w:tblPrEx/>
        <w:trPr/>
        <w:tc>
          <w:tcPr>
            <w:tcW w:w="4237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</w:p>
        </w:tc>
      </w:tr>
      <w:tr>
        <w:tblPrEx/>
        <w:trPr/>
        <w:tc>
          <w:tcPr>
            <w:tcW w:w="4237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</w:p>
        </w:tc>
      </w:tr>
    </w:tbl>
    <w:p>
      <w:pPr>
        <w:pStyle w:val="style179"/>
        <w:rPr>
          <w:rFonts w:ascii="Times New Roman" w:cs="Times New Roman" w:hAnsi="Times New Roman"/>
        </w:rPr>
      </w:pPr>
    </w:p>
    <w:tbl>
      <w:tblPr>
        <w:tblStyle w:val="style154"/>
        <w:tblW w:w="0" w:type="auto"/>
        <w:tblInd w:w="720" w:type="dxa"/>
        <w:tblLook w:val="04A0" w:firstRow="1" w:lastRow="0" w:firstColumn="1" w:lastColumn="0" w:noHBand="0" w:noVBand="1"/>
      </w:tblPr>
      <w:tblGrid>
        <w:gridCol w:w="8296"/>
      </w:tblGrid>
      <w:tr>
        <w:trPr/>
        <w:tc>
          <w:tcPr>
            <w:tcW w:w="8296" w:type="dxa"/>
            <w:tcBorders/>
          </w:tcPr>
          <w:p>
            <w:pPr>
              <w:pStyle w:val="style179"/>
              <w:spacing w:after="60"/>
              <w:ind w:lef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b/>
                <w:color w:val="c00000"/>
              </w:rPr>
              <w:t>İnzibati vəzifələr:</w:t>
            </w:r>
          </w:p>
        </w:tc>
      </w:tr>
      <w:tr>
        <w:tblPrEx/>
        <w:trPr>
          <w:trHeight w:val="602" w:hRule="atLeast"/>
        </w:trPr>
        <w:tc>
          <w:tcPr>
            <w:tcW w:w="8296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b/>
              </w:rPr>
            </w:pPr>
            <w:r>
              <w:rPr>
                <w:rFonts w:ascii="Times New Roman" w:cs="Times New Roman" w:hAnsi="Times New Roman"/>
                <w:b/>
              </w:rPr>
              <w:t>2023-davam edir   Müəllim</w:t>
            </w:r>
          </w:p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Naxçıvan Dövlə</w:t>
            </w:r>
            <w:r>
              <w:rPr>
                <w:rFonts w:ascii="Times New Roman" w:cs="Times New Roman" w:hAnsi="Times New Roman"/>
              </w:rPr>
              <w:t xml:space="preserve">t Universiteti İngilis dili və metodika </w:t>
            </w:r>
            <w:r>
              <w:rPr>
                <w:rFonts w:ascii="Times New Roman" w:cs="Times New Roman" w:hAnsi="Times New Roman"/>
              </w:rPr>
              <w:t xml:space="preserve"> kafedrası</w:t>
            </w:r>
          </w:p>
        </w:tc>
      </w:tr>
    </w:tbl>
    <w:p>
      <w:pPr>
        <w:pStyle w:val="style179"/>
        <w:rPr>
          <w:rFonts w:ascii="Times New Roman" w:cs="Times New Roman" w:hAnsi="Times New Roman"/>
        </w:rPr>
      </w:pPr>
    </w:p>
    <w:tbl>
      <w:tblPr>
        <w:tblStyle w:val="style154"/>
        <w:tblW w:w="0" w:type="auto"/>
        <w:tblInd w:w="720" w:type="dxa"/>
        <w:tblLook w:val="04A0" w:firstRow="1" w:lastRow="0" w:firstColumn="1" w:lastColumn="0" w:noHBand="0" w:noVBand="1"/>
      </w:tblPr>
      <w:tblGrid>
        <w:gridCol w:w="4158"/>
        <w:gridCol w:w="2347"/>
      </w:tblGrid>
      <w:tr>
        <w:trPr/>
        <w:tc>
          <w:tcPr>
            <w:tcW w:w="4158" w:type="dxa"/>
            <w:tcBorders/>
          </w:tcPr>
          <w:p>
            <w:pPr>
              <w:pStyle w:val="style179"/>
              <w:spacing w:after="120"/>
              <w:ind w:left="0"/>
              <w:rPr>
                <w:rFonts w:ascii="Times New Roman" w:cs="Times New Roman" w:hAnsi="Times New Roman"/>
                <w:b/>
              </w:rPr>
            </w:pPr>
            <w:r>
              <w:rPr>
                <w:rFonts w:ascii="Times New Roman" w:cs="Times New Roman" w:hAnsi="Times New Roman"/>
                <w:b/>
                <w:color w:val="c00000"/>
              </w:rPr>
              <w:t>Tədris etdiyi dərslər</w:t>
            </w:r>
          </w:p>
        </w:tc>
        <w:tc>
          <w:tcPr>
            <w:tcW w:w="2347" w:type="dxa"/>
            <w:tcBorders/>
          </w:tcPr>
          <w:p>
            <w:pPr>
              <w:pStyle w:val="style179"/>
              <w:spacing w:after="60"/>
              <w:ind w:left="0"/>
              <w:rPr>
                <w:rFonts w:ascii="Times New Roman" w:cs="Times New Roman" w:hAnsi="Times New Roman"/>
                <w:b/>
                <w:color w:val="c00000"/>
              </w:rPr>
            </w:pPr>
          </w:p>
        </w:tc>
      </w:tr>
      <w:tr>
        <w:tblPrEx/>
        <w:trPr/>
        <w:tc>
          <w:tcPr>
            <w:tcW w:w="4158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Xarici dildə işgüzar və akademik kommunikasiya</w:t>
            </w:r>
          </w:p>
        </w:tc>
        <w:tc>
          <w:tcPr>
            <w:tcW w:w="2347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Əsas (baza) xarici dil müəllimliyi təhsili</w:t>
            </w:r>
          </w:p>
        </w:tc>
      </w:tr>
      <w:tr>
        <w:tblPrEx/>
        <w:trPr>
          <w:trHeight w:val="107" w:hRule="atLeast"/>
        </w:trPr>
        <w:tc>
          <w:tcPr>
            <w:tcW w:w="4158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</w:p>
        </w:tc>
        <w:tc>
          <w:tcPr>
            <w:tcW w:w="2347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</w:p>
        </w:tc>
      </w:tr>
    </w:tbl>
    <w:p>
      <w:pPr>
        <w:pStyle w:val="style179"/>
        <w:rPr>
          <w:rFonts w:ascii="Times New Roman" w:cs="Times New Roman" w:hAnsi="Times New Roman"/>
        </w:rPr>
      </w:pPr>
    </w:p>
    <w:p>
      <w:pPr>
        <w:pStyle w:val="style179"/>
        <w:numPr>
          <w:ilvl w:val="0"/>
          <w:numId w:val="1"/>
        </w:numPr>
        <w:spacing w:before="120" w:after="480"/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NƏŞRLƏR VƏ ƏSƏRLƏR</w:t>
      </w:r>
    </w:p>
    <w:p>
      <w:pPr>
        <w:pStyle w:val="style179"/>
        <w:spacing w:before="120" w:after="480"/>
        <w:rPr>
          <w:rFonts w:ascii="Times New Roman" w:cs="Times New Roman" w:hAnsi="Times New Roman"/>
          <w:b/>
          <w:color w:val="0070c0"/>
        </w:rPr>
      </w:pPr>
    </w:p>
    <w:tbl>
      <w:tblPr>
        <w:tblStyle w:val="style154"/>
        <w:tblW w:w="8773" w:type="dxa"/>
        <w:tblInd w:w="720" w:type="dxa"/>
        <w:tblLook w:val="04A0" w:firstRow="1" w:lastRow="0" w:firstColumn="1" w:lastColumn="0" w:noHBand="0" w:noVBand="1"/>
      </w:tblPr>
      <w:tblGrid>
        <w:gridCol w:w="530"/>
        <w:gridCol w:w="8243"/>
      </w:tblGrid>
      <w:tr>
        <w:trPr>
          <w:trHeight w:val="263" w:hRule="atLeast"/>
        </w:trPr>
        <w:tc>
          <w:tcPr>
            <w:tcW w:w="8773" w:type="dxa"/>
            <w:gridSpan w:val="2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 xml:space="preserve">Scopus və </w:t>
            </w: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  <w:lang w:val="en-US"/>
              </w:rPr>
              <w:t xml:space="preserve">Web of science </w:t>
            </w: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  <w:lang w:val="en-US"/>
              </w:rPr>
              <w:t>baza</w:t>
            </w: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sında indeksləşmiş nəşrlər:</w:t>
            </w:r>
          </w:p>
        </w:tc>
      </w:tr>
      <w:tr>
        <w:tblPrEx/>
        <w:trPr>
          <w:trHeight w:val="413" w:hRule="atLeast"/>
        </w:trPr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Asadova A.Nuri, A. B.,  Heyderova, N. A., &amp; Mammadova, K. M.Gender issues in education. Universidad y Sociedad, 16(6), 272-278, 2024</w:t>
            </w:r>
          </w:p>
        </w:tc>
      </w:tr>
      <w:tr>
        <w:tblPrEx/>
        <w:trPr/>
        <w:tc>
          <w:tcPr>
            <w:tcW w:w="8773" w:type="dxa"/>
            <w:gridSpan w:val="2"/>
            <w:tcBorders/>
          </w:tcPr>
          <w:p>
            <w:pPr>
              <w:pStyle w:val="style179"/>
              <w:ind w:left="19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Digər indeksli jurnallardakı nəşrlər:</w:t>
            </w:r>
          </w:p>
        </w:tc>
      </w:tr>
      <w:tr>
        <w:tblPrEx/>
        <w:trPr>
          <w:trHeight w:val="557" w:hRule="atLeast"/>
        </w:trPr>
        <w:tc>
          <w:tcPr>
            <w:tcW w:w="409" w:type="dxa"/>
            <w:tcBorders/>
          </w:tcPr>
          <w:p>
            <w:pPr>
              <w:pStyle w:val="style179"/>
              <w:numPr>
                <w:ilvl w:val="0"/>
                <w:numId w:val="0"/>
              </w:numPr>
              <w:ind w:left="19" w:firstLine="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8364" w:type="dxa"/>
            <w:tcBorders/>
          </w:tcPr>
          <w:p>
            <w:pPr>
              <w:pStyle w:val="style0"/>
              <w:spacing w:after="80"/>
              <w:rPr>
                <w:rFonts w:ascii="Times New Roman" w:cs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bCs/>
                <w:sz w:val="20"/>
                <w:szCs w:val="20"/>
              </w:rPr>
              <w:t>Asadova A.</w:t>
            </w:r>
            <w:r>
              <w:rPr>
                <w:rFonts w:ascii="Times New Roman" w:cs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</w:rPr>
              <w:t>The role of syntax in Language Acquisition: A cross-linguistic perspective. International Journal of Philosophical Studies and Social Science,2023, p.105-117</w:t>
            </w:r>
          </w:p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>
          <w:trHeight w:val="125" w:hRule="atLeast"/>
        </w:trPr>
        <w:tc>
          <w:tcPr>
            <w:tcW w:w="409" w:type="dxa"/>
            <w:tcBorders/>
          </w:tcPr>
          <w:p>
            <w:pPr>
              <w:pStyle w:val="style0"/>
              <w:ind w:left="90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8364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bCs/>
                <w:sz w:val="20"/>
                <w:szCs w:val="20"/>
              </w:rPr>
              <w:t xml:space="preserve">Asadova A. </w:t>
            </w:r>
            <w:r>
              <w:rPr>
                <w:rFonts w:ascii="Times New Roman" w:cs="Times New Roman" w:hAnsi="Times New Roman"/>
                <w:sz w:val="20"/>
                <w:szCs w:val="20"/>
              </w:rPr>
              <w:t>The Translator as Cultural Mediator. University of Exact and Social Sciences, 5th International Conference on "Interpreting &amp; Translation Studies " Tashkent/Uzbekistan, 20 Feburary 2024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, s.4-10</w:t>
            </w:r>
          </w:p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/>
        <w:tc>
          <w:tcPr>
            <w:tcW w:w="8773" w:type="dxa"/>
            <w:gridSpan w:val="2"/>
            <w:tcBorders/>
          </w:tcPr>
          <w:p>
            <w:pPr>
              <w:pStyle w:val="style179"/>
              <w:ind w:left="19"/>
              <w:rPr>
                <w:rFonts w:ascii="Times New Roman" w:cs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Respublika jurnallarındakı nəşrlər:</w:t>
            </w:r>
          </w:p>
        </w:tc>
      </w:tr>
      <w:tr>
        <w:tblPrEx/>
        <w:trPr/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8364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  <w:lang w:bidi="ar-EG"/>
              </w:rPr>
            </w:pPr>
            <w:r>
              <w:rPr>
                <w:rFonts w:ascii="Times New Roman" w:cs="Times New Roman" w:hAnsi="Times New Roman"/>
                <w:b/>
                <w:bCs/>
                <w:sz w:val="20"/>
                <w:szCs w:val="20"/>
              </w:rPr>
              <w:t>Asadova A.</w:t>
            </w:r>
            <w:r>
              <w:rPr>
                <w:rFonts w:ascii="Times New Roman" w:cs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Methods used in the development of speaking skills in foreign language classes.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Qədim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Diyar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beynəlxalq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elmi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jurnal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 xml:space="preserve">. 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Bakı</w:t>
            </w:r>
            <w:r>
              <w:rPr>
                <w:rFonts w:ascii="Times New Roman" w:cs="Times New Roman" w:hAnsi="Times New Roman"/>
                <w:sz w:val="20"/>
                <w:szCs w:val="20"/>
                <w:lang w:val="en-US" w:bidi="ar-EG"/>
              </w:rPr>
              <w:t>, 2024 May, s.201-206</w:t>
            </w:r>
          </w:p>
        </w:tc>
      </w:tr>
      <w:tr>
        <w:tblPrEx/>
        <w:trPr/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8364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sz w:val="20"/>
                <w:szCs w:val="20"/>
                <w:lang w:val="en-US"/>
              </w:rPr>
              <w:t>Asadova</w:t>
            </w:r>
            <w:r>
              <w:rPr>
                <w:rFonts w:ascii="Times New Roman" w:cs="Times New Roman" w:hAnsi="Times New Roman"/>
                <w:b/>
                <w:sz w:val="20"/>
                <w:szCs w:val="20"/>
                <w:lang w:val="en-US"/>
              </w:rPr>
              <w:t xml:space="preserve"> A. </w:t>
            </w:r>
            <w:r>
              <w:rPr>
                <w:rFonts w:ascii="Times New Roman" w:cs="Times New Roman" w:hAnsi="Times New Roman"/>
                <w:b/>
                <w:sz w:val="20"/>
                <w:szCs w:val="20"/>
                <w:lang w:val="en-US"/>
              </w:rPr>
              <w:t>Efendiyev</w:t>
            </w:r>
            <w:r>
              <w:rPr>
                <w:rFonts w:ascii="Times New Roman" w:cs="Times New Roman" w:hAnsi="Times New Roman"/>
                <w:b/>
                <w:sz w:val="20"/>
                <w:szCs w:val="20"/>
                <w:lang w:val="en-US"/>
              </w:rPr>
              <w:t xml:space="preserve"> Y.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THE IMPACT OF ENGLISH ON THE DEVELOPING OF COUNTRIES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.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Qədim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Diyar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beynəlxalq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elmi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jurnal.Bakı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 xml:space="preserve">, 2024 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iyul</w:t>
            </w:r>
            <w:r>
              <w:rPr>
                <w:rFonts w:ascii="Times New Roman" w:cs="Times New Roman" w:hAnsi="Times New Roman"/>
                <w:sz w:val="20"/>
                <w:szCs w:val="20"/>
                <w:lang w:val="en-US"/>
              </w:rPr>
              <w:t>, s.107-113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/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cs="Times New Roman" w:hAnsi="Times New Roman"/>
                <w:sz w:val="20"/>
                <w:szCs w:val="20"/>
                <w:lang w:val="en-US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cs="Times New Roman" w:hAnsi="Times New Roman"/>
                <w:sz w:val="20"/>
                <w:szCs w:val="20"/>
                <w:lang w:val="en-US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Asadova A. Dilin biologiyası haqqında nəzəriyyələr.Qədim Diyar Beynəlxalq Online Elmi Jurnal. 2024 / Cild: 6 Sayı: 11 / 7-13 ISSN: 2706-6185 Bakı  2024.70-74</w:t>
            </w:r>
          </w:p>
        </w:tc>
      </w:tr>
      <w:tr>
        <w:tblPrEx/>
        <w:trPr/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Asadova A.Fidan Hüseynova.Key Secrets of Learning Foreign Language.Qədim Diyar Beynəlxalq Elmi Jurnal. Bakı. 2025 / Cild: 7 Sayı: 2 / 334-337</w:t>
            </w:r>
          </w:p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 xml:space="preserve">ISSN: 2706-6185 </w:t>
            </w:r>
          </w:p>
        </w:tc>
      </w:tr>
      <w:tr>
        <w:tblPrEx/>
        <w:trPr/>
        <w:tc>
          <w:tcPr>
            <w:tcW w:w="8773" w:type="dxa"/>
            <w:gridSpan w:val="2"/>
            <w:tcBorders/>
          </w:tcPr>
          <w:p>
            <w:pPr>
              <w:pStyle w:val="style179"/>
              <w:ind w:left="19"/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Konfrans və simpoziumlarda məqalə və tezis şəklində nəşrlər:</w:t>
            </w:r>
          </w:p>
        </w:tc>
      </w:tr>
      <w:tr>
        <w:tblPrEx/>
        <w:trPr>
          <w:trHeight w:val="0" w:hRule="auto"/>
        </w:trPr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8364" w:type="dxa"/>
            <w:tcBorders/>
          </w:tcPr>
          <w:p>
            <w:pPr>
              <w:pStyle w:val="style0"/>
              <w:rPr>
                <w:rFonts w:ascii="宋体" w:cs="宋体" w:hAnsi="宋体"/>
                <w:sz w:val="20"/>
                <w:szCs w:val="20"/>
              </w:rPr>
            </w:pPr>
            <w:r>
              <w:rPr>
                <w:rFonts w:ascii="宋体" w:cs="宋体" w:hAnsi="宋体"/>
                <w:b/>
                <w:sz w:val="20"/>
                <w:szCs w:val="20"/>
              </w:rPr>
              <w:t>Əsədova A.</w:t>
            </w:r>
            <w:r>
              <w:rPr>
                <w:rFonts w:ascii="宋体" w:cs="宋体" w:hAnsi="宋体"/>
                <w:sz w:val="20"/>
                <w:szCs w:val="20"/>
              </w:rPr>
              <w:t xml:space="preserve"> The mental process in learning lang</w:t>
            </w:r>
            <w:r>
              <w:rPr>
                <w:rFonts w:ascii="宋体" w:cs="宋体" w:hAnsi="宋体"/>
                <w:sz w:val="20"/>
                <w:szCs w:val="20"/>
              </w:rPr>
              <w:t>uages: benefits of bilingualism</w:t>
            </w:r>
            <w:r>
              <w:rPr>
                <w:rFonts w:ascii="宋体" w:cs="宋体" w:hAnsi="宋体"/>
                <w:sz w:val="20"/>
                <w:szCs w:val="20"/>
              </w:rPr>
              <w:t>. Magistrantların XII Regional Elmi Konfransının Materialları. (Naxçıvan Dövlət Universiteti-2021,s.176-180)</w:t>
            </w:r>
          </w:p>
        </w:tc>
      </w:tr>
      <w:tr>
        <w:tblPrEx/>
        <w:trPr/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8364" w:type="dxa"/>
            <w:tcBorders/>
          </w:tcPr>
          <w:p>
            <w:pPr>
              <w:pStyle w:val="style0"/>
              <w:rPr>
                <w:rFonts w:ascii="宋体" w:cs="宋体" w:hAnsi="宋体"/>
                <w:sz w:val="20"/>
                <w:szCs w:val="20"/>
              </w:rPr>
            </w:pPr>
            <w:r>
              <w:rPr>
                <w:rFonts w:ascii="宋体" w:cs="宋体" w:hAnsi="宋体"/>
                <w:b/>
                <w:sz w:val="20"/>
                <w:szCs w:val="20"/>
              </w:rPr>
              <w:t>Əsədova A.</w:t>
            </w:r>
            <w:r>
              <w:rPr>
                <w:rFonts w:ascii="宋体" w:cs="宋体" w:hAnsi="宋体"/>
                <w:sz w:val="20"/>
                <w:szCs w:val="20"/>
              </w:rPr>
              <w:t xml:space="preserve"> About the study of a</w:t>
            </w:r>
            <w:r>
              <w:rPr>
                <w:rFonts w:ascii="宋体" w:cs="宋体" w:hAnsi="宋体"/>
                <w:sz w:val="20"/>
                <w:szCs w:val="20"/>
              </w:rPr>
              <w:t>natomy and physiology of speech</w:t>
            </w:r>
            <w:r>
              <w:rPr>
                <w:rFonts w:ascii="宋体" w:cs="宋体" w:hAnsi="宋体"/>
                <w:sz w:val="20"/>
                <w:szCs w:val="20"/>
              </w:rPr>
              <w:t>. Doktorant və Magistrantların IV Respublika Elmi Konfransının Materialları (Naxçıvan Müəllimlər İnstitutu-2022, s.691-694)</w:t>
            </w:r>
          </w:p>
        </w:tc>
      </w:tr>
      <w:tr>
        <w:tblPrEx/>
        <w:trPr/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8364" w:type="dxa"/>
            <w:tcBorders/>
          </w:tcPr>
          <w:p>
            <w:pPr>
              <w:pStyle w:val="style0"/>
              <w:rPr>
                <w:rFonts w:ascii="宋体" w:cs="宋体" w:hAnsi="宋体"/>
                <w:sz w:val="20"/>
                <w:szCs w:val="20"/>
              </w:rPr>
            </w:pPr>
            <w:r>
              <w:rPr>
                <w:rFonts w:ascii="宋体" w:cs="宋体" w:hAnsi="宋体"/>
                <w:b/>
                <w:sz w:val="20"/>
                <w:szCs w:val="20"/>
              </w:rPr>
              <w:t>Əsədova A</w:t>
            </w:r>
            <w:r>
              <w:rPr>
                <w:rFonts w:ascii="宋体" w:cs="宋体" w:hAnsi="宋体"/>
                <w:sz w:val="20"/>
                <w:szCs w:val="20"/>
              </w:rPr>
              <w:t>. Ümummilli lider Heydər Əliyevin dövlətçilik fəaliyyətində ana dilinə gğstərilə</w:t>
            </w:r>
            <w:r>
              <w:rPr>
                <w:rFonts w:ascii="宋体" w:cs="宋体" w:hAnsi="宋体"/>
                <w:sz w:val="20"/>
                <w:szCs w:val="20"/>
              </w:rPr>
              <w:t>n qayğı</w:t>
            </w:r>
            <w:r>
              <w:rPr>
                <w:rFonts w:ascii="宋体" w:cs="宋体" w:hAnsi="宋体"/>
                <w:sz w:val="20"/>
                <w:szCs w:val="20"/>
              </w:rPr>
              <w:t>.  “Heydər Əliyev və milli dövlətçilik məsələləri” Respublika Elmi Konfrans Materialları (“Naxçıvan” Universiteti-2023, s.95)</w:t>
            </w:r>
          </w:p>
        </w:tc>
      </w:tr>
      <w:tr>
        <w:tblPrEx/>
        <w:trPr>
          <w:trHeight w:val="413" w:hRule="atLeast"/>
        </w:trPr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8364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b/>
                <w:bCs/>
                <w:sz w:val="20"/>
                <w:szCs w:val="20"/>
                <w:lang w:val="en-US"/>
              </w:rPr>
              <w:t>Əsədova A.</w:t>
            </w:r>
            <w:r>
              <w:rPr>
                <w:rFonts w:cs="Times New Roman" w:hAnsi="Times New Roman"/>
                <w:sz w:val="20"/>
                <w:szCs w:val="20"/>
                <w:lang w:val="en-US"/>
              </w:rPr>
              <w:t xml:space="preserve"> Understanding the biological basis of language. Azərbaycan Dillər Universiteti və Naxçıvan Dövlət Universitetinin birgə təşkilatçılığı ilə Ümummilli Lider Heydər Əliyevin anadan olmasının 100 illiyinə həsr olunmuş “Tərcüməşünaslığın Müasir Problemləri” respublika-elmi konfransı, Bakı, Naxçıvan 2023, s.84-86</w:t>
            </w:r>
          </w:p>
        </w:tc>
      </w:tr>
      <w:tr>
        <w:tblPrEx/>
        <w:trPr>
          <w:trHeight w:val="1168" w:hRule="atLeast"/>
        </w:trPr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12</w:t>
            </w:r>
          </w:p>
        </w:tc>
        <w:tc>
          <w:tcPr>
            <w:tcW w:w="8364" w:type="dxa"/>
            <w:tcBorders/>
          </w:tcPr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>Əsədova A.Language Policy and Multiculturalism:Challenges and Opportunities in CLIL Classroom.5th International Content and Language Integrated Learning (CLIL) Conference</w:t>
            </w:r>
          </w:p>
          <w:p>
            <w:pPr>
              <w:pStyle w:val="style0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cs="Times New Roman" w:hAnsi="Times New Roman"/>
                <w:sz w:val="20"/>
                <w:szCs w:val="20"/>
                <w:lang w:val="en-US"/>
              </w:rPr>
              <w:t xml:space="preserve">Urgеnch/Uzbekistan.February 20, 2025.8 </w:t>
            </w:r>
          </w:p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/>
        <w:tc>
          <w:tcPr>
            <w:tcW w:w="8773" w:type="dxa"/>
            <w:gridSpan w:val="2"/>
            <w:tcBorders/>
          </w:tcPr>
          <w:p>
            <w:pPr>
              <w:pStyle w:val="style179"/>
              <w:ind w:left="19"/>
              <w:rPr>
                <w:rFonts w:ascii="Times New Roman" w:cs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Dərsliklər:</w:t>
            </w:r>
          </w:p>
        </w:tc>
      </w:tr>
      <w:tr>
        <w:tblPrEx/>
        <w:trPr>
          <w:trHeight w:val="332" w:hRule="atLeast"/>
        </w:trPr>
        <w:tc>
          <w:tcPr>
            <w:tcW w:w="409" w:type="dxa"/>
            <w:tcBorders/>
          </w:tcPr>
          <w:p>
            <w:pPr>
              <w:pStyle w:val="style0"/>
              <w:ind w:left="9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/>
        <w:tc>
          <w:tcPr>
            <w:tcW w:w="8773" w:type="dxa"/>
            <w:gridSpan w:val="2"/>
            <w:tcBorders/>
          </w:tcPr>
          <w:p>
            <w:pPr>
              <w:pStyle w:val="style179"/>
              <w:ind w:left="19"/>
              <w:rPr>
                <w:rFonts w:ascii="Times New Roman" w:cs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Monoqrafiyalar:</w:t>
            </w:r>
          </w:p>
        </w:tc>
      </w:tr>
      <w:tr>
        <w:tblPrEx/>
        <w:trPr>
          <w:trHeight w:val="305" w:hRule="atLeast"/>
        </w:trPr>
        <w:tc>
          <w:tcPr>
            <w:tcW w:w="409" w:type="dxa"/>
            <w:tcBorders/>
          </w:tcPr>
          <w:p>
            <w:pPr>
              <w:pStyle w:val="style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/>
        <w:tc>
          <w:tcPr>
            <w:tcW w:w="8773" w:type="dxa"/>
            <w:gridSpan w:val="2"/>
            <w:tcBorders/>
          </w:tcPr>
          <w:p>
            <w:pPr>
              <w:pStyle w:val="style179"/>
              <w:ind w:left="19"/>
              <w:rPr>
                <w:rFonts w:ascii="Times New Roman" w:cs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b/>
                <w:color w:val="c00000"/>
                <w:sz w:val="20"/>
                <w:szCs w:val="20"/>
              </w:rPr>
              <w:t>Dərs və metodik vəsaitlər, proqramlar:</w:t>
            </w:r>
          </w:p>
        </w:tc>
      </w:tr>
      <w:tr>
        <w:tblPrEx/>
        <w:trPr/>
        <w:tc>
          <w:tcPr>
            <w:tcW w:w="409" w:type="dxa"/>
            <w:vMerge w:val="restart"/>
            <w:tcBorders/>
          </w:tcPr>
          <w:p>
            <w:pPr>
              <w:pStyle w:val="style0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  <w:tr>
        <w:tblPrEx/>
        <w:trPr>
          <w:trHeight w:val="107" w:hRule="atLeast"/>
        </w:trPr>
        <w:tc>
          <w:tcPr>
            <w:tcW w:w="409" w:type="dxa"/>
            <w:vMerge w:val="continue"/>
            <w:tcBorders/>
          </w:tcPr>
          <w:p>
            <w:pPr>
              <w:pStyle w:val="style179"/>
              <w:numPr>
                <w:ilvl w:val="0"/>
                <w:numId w:val="7"/>
              </w:numPr>
              <w:ind w:left="19" w:hanging="1"/>
              <w:jc w:val="center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  <w:tc>
          <w:tcPr>
            <w:tcW w:w="8364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sz w:val="20"/>
                <w:szCs w:val="20"/>
              </w:rPr>
            </w:pPr>
          </w:p>
        </w:tc>
      </w:tr>
    </w:tbl>
    <w:p>
      <w:pPr>
        <w:pStyle w:val="style179"/>
        <w:spacing w:before="120" w:after="240"/>
        <w:rPr>
          <w:rFonts w:ascii="Times New Roman" w:cs="Times New Roman" w:hAnsi="Times New Roman"/>
        </w:rPr>
      </w:pPr>
    </w:p>
    <w:p>
      <w:pPr>
        <w:pStyle w:val="style179"/>
        <w:numPr>
          <w:ilvl w:val="0"/>
          <w:numId w:val="1"/>
        </w:numPr>
        <w:spacing w:before="120" w:after="240"/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DƏSTƏKLƏNƏN LAYİHƏLƏR</w:t>
      </w:r>
    </w:p>
    <w:p>
      <w:pPr>
        <w:pStyle w:val="style0"/>
        <w:spacing w:before="120" w:after="240"/>
        <w:ind w:left="360"/>
        <w:rPr>
          <w:rFonts w:ascii="Times New Roman" w:cs="Times New Roman" w:hAnsi="Times New Roman"/>
          <w:b/>
          <w:color w:val="0070c0"/>
          <w:sz w:val="4"/>
        </w:rPr>
      </w:pPr>
    </w:p>
    <w:p>
      <w:pPr>
        <w:pStyle w:val="style179"/>
        <w:numPr>
          <w:ilvl w:val="0"/>
          <w:numId w:val="1"/>
        </w:numPr>
        <w:spacing w:before="240" w:after="240"/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ELMİ VƏ PEŞƏKAR FƏALİYYƏTLƏR</w:t>
      </w:r>
    </w:p>
    <w:p>
      <w:pPr>
        <w:pStyle w:val="style179"/>
        <w:spacing w:before="240" w:after="240"/>
        <w:rPr>
          <w:rFonts w:ascii="Times New Roman" w:cs="Times New Roman" w:hAnsi="Times New Roman"/>
          <w:b/>
          <w:color w:val="0070c0"/>
        </w:rPr>
      </w:pPr>
    </w:p>
    <w:tbl>
      <w:tblPr>
        <w:tblStyle w:val="style154"/>
        <w:tblW w:w="8773" w:type="dxa"/>
        <w:tblInd w:w="720" w:type="dxa"/>
        <w:tblLook w:val="04A0" w:firstRow="1" w:lastRow="0" w:firstColumn="1" w:lastColumn="0" w:noHBand="0" w:noVBand="1"/>
      </w:tblPr>
      <w:tblGrid>
        <w:gridCol w:w="4378"/>
        <w:gridCol w:w="4395"/>
      </w:tblGrid>
      <w:tr>
        <w:trPr/>
        <w:tc>
          <w:tcPr>
            <w:tcW w:w="4378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  <w:b/>
              </w:rPr>
            </w:pPr>
            <w:r>
              <w:rPr>
                <w:rFonts w:ascii="Times New Roman" w:cs="Times New Roman" w:hAnsi="Times New Roman"/>
                <w:b/>
                <w:color w:val="c00000"/>
              </w:rPr>
              <w:t>Elmi jurnallardakı fəaliyyətlər</w:t>
            </w:r>
          </w:p>
        </w:tc>
        <w:tc>
          <w:tcPr>
            <w:tcW w:w="4395" w:type="dxa"/>
            <w:tcBorders/>
          </w:tcPr>
          <w:p>
            <w:pPr>
              <w:pStyle w:val="style179"/>
              <w:spacing w:after="120"/>
              <w:ind w:left="0"/>
              <w:rPr>
                <w:rFonts w:ascii="Times New Roman" w:cs="Times New Roman" w:hAnsi="Times New Roman"/>
                <w:b/>
                <w:color w:val="c00000"/>
              </w:rPr>
            </w:pPr>
            <w:r>
              <w:rPr>
                <w:rFonts w:ascii="Times New Roman" w:cs="Times New Roman" w:hAnsi="Times New Roman"/>
                <w:b/>
                <w:color w:val="c00000"/>
              </w:rPr>
              <w:t xml:space="preserve">Hakimlik </w:t>
            </w:r>
          </w:p>
        </w:tc>
      </w:tr>
      <w:tr>
        <w:tblPrEx/>
        <w:trPr>
          <w:trHeight w:val="368" w:hRule="atLeast"/>
        </w:trPr>
        <w:tc>
          <w:tcPr>
            <w:tcW w:w="4378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</w:p>
        </w:tc>
        <w:tc>
          <w:tcPr>
            <w:tcW w:w="4395" w:type="dxa"/>
            <w:tcBorders/>
          </w:tcPr>
          <w:p>
            <w:pPr>
              <w:pStyle w:val="style179"/>
              <w:ind w:left="0"/>
              <w:rPr>
                <w:rFonts w:ascii="Times New Roman" w:cs="Times New Roman" w:hAnsi="Times New Roman"/>
              </w:rPr>
            </w:pPr>
          </w:p>
        </w:tc>
      </w:tr>
    </w:tbl>
    <w:p>
      <w:pPr>
        <w:pStyle w:val="style179"/>
        <w:rPr>
          <w:rFonts w:ascii="Times New Roman" w:cs="Times New Roman" w:hAnsi="Times New Roman"/>
          <w:b/>
          <w:color w:val="0070c0"/>
        </w:rPr>
      </w:pPr>
    </w:p>
    <w:p>
      <w:pPr>
        <w:pStyle w:val="style179"/>
        <w:numPr>
          <w:ilvl w:val="0"/>
          <w:numId w:val="1"/>
        </w:numPr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NAİLİYYƏTLƏR VƏ TANINMA</w:t>
      </w:r>
    </w:p>
    <w:p>
      <w:pPr>
        <w:pStyle w:val="style179"/>
        <w:rPr>
          <w:rFonts w:ascii="Times New Roman" w:cs="Times New Roman" w:hAnsi="Times New Roman"/>
          <w:b/>
          <w:color w:val="0070c0"/>
        </w:rPr>
      </w:pPr>
    </w:p>
    <w:p>
      <w:pPr>
        <w:pStyle w:val="style179"/>
        <w:numPr>
          <w:ilvl w:val="0"/>
          <w:numId w:val="1"/>
        </w:numPr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ELANLAR VƏ SƏNƏDLƏR</w:t>
      </w:r>
    </w:p>
    <w:p>
      <w:pPr>
        <w:pStyle w:val="style179"/>
        <w:rPr>
          <w:rFonts w:ascii="Times New Roman" w:cs="Times New Roman" w:hAnsi="Times New Roman"/>
          <w:b/>
          <w:color w:val="0070c0"/>
        </w:rPr>
      </w:pPr>
    </w:p>
    <w:p>
      <w:pPr>
        <w:pStyle w:val="style179"/>
        <w:numPr>
          <w:ilvl w:val="0"/>
          <w:numId w:val="1"/>
        </w:numPr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ƏLAQƏ</w:t>
      </w:r>
    </w:p>
    <w:tbl>
      <w:tblPr>
        <w:tblStyle w:val="style154"/>
        <w:tblW w:w="8636" w:type="dxa"/>
        <w:tblInd w:w="720" w:type="dxa"/>
        <w:tblLook w:val="04A0" w:firstRow="1" w:lastRow="0" w:firstColumn="1" w:lastColumn="0" w:noHBand="0" w:noVBand="1"/>
      </w:tblPr>
      <w:tblGrid>
        <w:gridCol w:w="2110"/>
        <w:gridCol w:w="6526"/>
      </w:tblGrid>
      <w:tr>
        <w:trPr/>
        <w:tc>
          <w:tcPr>
            <w:tcW w:w="211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İnstitusional e-poçt:</w:t>
            </w:r>
          </w:p>
        </w:tc>
        <w:tc>
          <w:tcPr>
            <w:tcW w:w="652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  <w:lang w:val="en-US"/>
              </w:rPr>
            </w:pPr>
            <w:r>
              <w:rPr>
                <w:rFonts w:ascii="Times New Roman" w:cs="Times New Roman" w:hAnsi="Times New Roman"/>
                <w:sz w:val="20"/>
              </w:rPr>
              <w:t>ayselesedova</w:t>
            </w:r>
            <w:r>
              <w:rPr>
                <w:rFonts w:ascii="Times New Roman" w:cs="Times New Roman" w:hAnsi="Times New Roman"/>
                <w:sz w:val="20"/>
                <w:lang w:val="en-US"/>
              </w:rPr>
              <w:t>@ndu.edu.az</w:t>
            </w:r>
          </w:p>
        </w:tc>
      </w:tr>
      <w:tr>
        <w:tblPrEx/>
        <w:trPr/>
        <w:tc>
          <w:tcPr>
            <w:tcW w:w="211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Digər e-poçt:</w:t>
            </w:r>
          </w:p>
        </w:tc>
        <w:tc>
          <w:tcPr>
            <w:tcW w:w="652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  <w:r>
              <w:rPr>
                <w:rFonts w:ascii="Times New Roman" w:cs="Times New Roman" w:hAnsi="Times New Roman"/>
                <w:sz w:val="20"/>
              </w:rPr>
              <w:t xml:space="preserve">   </w:t>
            </w:r>
            <w:r>
              <w:rPr>
                <w:rFonts w:ascii="Times New Roman" w:cs="Times New Roman" w:hAnsi="Times New Roman"/>
                <w:sz w:val="20"/>
              </w:rPr>
              <w:t>ayselesedova111@gmail.com</w:t>
            </w:r>
          </w:p>
        </w:tc>
      </w:tr>
      <w:tr>
        <w:tblPrEx/>
        <w:trPr/>
        <w:tc>
          <w:tcPr>
            <w:tcW w:w="211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  <w:lang w:val="en-US"/>
              </w:rPr>
              <w:t>Web s</w:t>
            </w:r>
            <w:r>
              <w:rPr>
                <w:rFonts w:ascii="Times New Roman" w:cs="Times New Roman" w:hAnsi="Times New Roman"/>
                <w:b/>
                <w:sz w:val="20"/>
              </w:rPr>
              <w:t>əhifəsi:</w:t>
            </w:r>
          </w:p>
        </w:tc>
        <w:tc>
          <w:tcPr>
            <w:tcW w:w="652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  <w:r>
              <w:rPr>
                <w:rFonts w:ascii="Times New Roman" w:cs="Times New Roman" w:hAnsi="Times New Roman"/>
                <w:sz w:val="20"/>
              </w:rPr>
              <w:t>https://ndu.edu.az/ayselesdova</w:t>
            </w:r>
          </w:p>
        </w:tc>
      </w:tr>
      <w:tr>
        <w:tblPrEx/>
        <w:trPr/>
        <w:tc>
          <w:tcPr>
            <w:tcW w:w="211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İş telefonu</w:t>
            </w:r>
          </w:p>
        </w:tc>
        <w:tc>
          <w:tcPr>
            <w:tcW w:w="652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</w:p>
        </w:tc>
      </w:tr>
      <w:tr>
        <w:tblPrEx/>
        <w:trPr/>
        <w:tc>
          <w:tcPr>
            <w:tcW w:w="211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Mobil:</w:t>
            </w:r>
          </w:p>
        </w:tc>
        <w:tc>
          <w:tcPr>
            <w:tcW w:w="652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</w:p>
        </w:tc>
      </w:tr>
      <w:tr>
        <w:tblPrEx/>
        <w:trPr/>
        <w:tc>
          <w:tcPr>
            <w:tcW w:w="2110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b/>
                <w:sz w:val="20"/>
              </w:rPr>
            </w:pPr>
            <w:r>
              <w:rPr>
                <w:rFonts w:ascii="Times New Roman" w:cs="Times New Roman" w:hAnsi="Times New Roman"/>
                <w:b/>
                <w:sz w:val="20"/>
              </w:rPr>
              <w:t>Yaşayış ünvanı:</w:t>
            </w:r>
          </w:p>
        </w:tc>
        <w:tc>
          <w:tcPr>
            <w:tcW w:w="6526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0"/>
              </w:rPr>
            </w:pPr>
            <w:r>
              <w:rPr>
                <w:rFonts w:ascii="Times New Roman" w:cs="Times New Roman" w:hAnsi="Times New Roman"/>
                <w:sz w:val="20"/>
              </w:rPr>
              <w:t>Azərbaycan Respublikası, Naxçıvan Muxtar Respublikası, Naxçıvan şəhə</w:t>
            </w:r>
            <w:r>
              <w:rPr>
                <w:rFonts w:ascii="Times New Roman" w:cs="Times New Roman" w:hAnsi="Times New Roman"/>
                <w:sz w:val="20"/>
              </w:rPr>
              <w:t>ri, Əcəmi 37,m 7</w:t>
            </w:r>
          </w:p>
        </w:tc>
      </w:tr>
    </w:tbl>
    <w:p>
      <w:pPr>
        <w:pStyle w:val="style179"/>
        <w:rPr>
          <w:rFonts w:ascii="Times New Roman" w:cs="Times New Roman" w:hAnsi="Times New Roman"/>
          <w:b/>
          <w:color w:val="0070c0"/>
        </w:rPr>
      </w:pPr>
    </w:p>
    <w:p>
      <w:pPr>
        <w:pStyle w:val="style179"/>
        <w:numPr>
          <w:ilvl w:val="0"/>
          <w:numId w:val="1"/>
        </w:numPr>
        <w:rPr>
          <w:rFonts w:ascii="Times New Roman" w:cs="Times New Roman" w:hAnsi="Times New Roman"/>
          <w:b/>
          <w:color w:val="0070c0"/>
        </w:rPr>
      </w:pPr>
      <w:r>
        <w:rPr>
          <w:rFonts w:ascii="Times New Roman" w:cs="Times New Roman" w:hAnsi="Times New Roman"/>
          <w:b/>
          <w:color w:val="0070c0"/>
        </w:rPr>
        <w:t>CV FAYLINI YÜKLƏYİN</w:t>
      </w:r>
    </w:p>
    <w:p>
      <w:pPr>
        <w:pStyle w:val="style0"/>
        <w:rPr>
          <w:rFonts w:ascii="Times New Roman" w:cs="Times New Roman" w:hAnsi="Times New Roman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Calibri Light">
    <w:altName w:val="Calibri Light"/>
    <w:panose1 w:val="020f0302020002030204"/>
    <w:charset w:val="00"/>
    <w:family w:val="swiss"/>
    <w:pitch w:val="variable"/>
    <w:sig w:usb0="E4002EFF" w:usb1="C000247B" w:usb2="00000009" w:usb3="00000000" w:csb0="000001FF" w:csb1="00000000"/>
  </w:font>
  <w:font w:name="Times Roman AzLat">
    <w:altName w:val="Times Roman AzLat"/>
    <w:panose1 w:val="02020603050004020304"/>
    <w:charset w:val="cc"/>
    <w:family w:val="roman"/>
    <w:pitch w:val="variable"/>
    <w:sig w:usb0="00000201" w:usb1="00000000" w:usb2="00000000" w:usb3="00000000" w:csb0="00000004" w:csb1="00000000"/>
  </w:font>
  <w:font w:name="Century Schoolbook">
    <w:altName w:val="Century Schoolbook"/>
    <w:panose1 w:val="0204060405000502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001010101"/>
    <w:charset w:val="86"/>
    <w:family w:val="auto"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00001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000002"/>
    <w:multiLevelType w:val="hybridMultilevel"/>
    <w:tmpl w:val="56A2E6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000003"/>
    <w:multiLevelType w:val="hybridMultilevel"/>
    <w:tmpl w:val="206AFE40"/>
    <w:lvl w:ilvl="0" w:tplc="A1E2D5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CD1420F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0000004"/>
    <w:multiLevelType w:val="hybridMultilevel"/>
    <w:tmpl w:val="2BB04292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5"/>
    <w:multiLevelType w:val="hybridMultilevel"/>
    <w:tmpl w:val="7DBE55B0"/>
    <w:lvl w:ilvl="0" w:tplc="D3BA3D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06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0000007"/>
    <w:multiLevelType w:val="hybridMultilevel"/>
    <w:tmpl w:val="5AB678D6"/>
    <w:lvl w:ilvl="0" w:tplc="042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C0019" w:tentative="1">
      <w:start w:val="1"/>
      <w:numFmt w:val="lowerLetter"/>
      <w:lvlText w:val="%2."/>
      <w:lvlJc w:val="left"/>
      <w:pPr>
        <w:ind w:left="1440" w:hanging="360"/>
      </w:pPr>
    </w:lvl>
    <w:lvl w:ilvl="2" w:tplc="042C001B" w:tentative="1">
      <w:start w:val="1"/>
      <w:numFmt w:val="lowerRoman"/>
      <w:lvlText w:val="%3."/>
      <w:lvlJc w:val="right"/>
      <w:pPr>
        <w:ind w:left="2160" w:hanging="180"/>
      </w:pPr>
    </w:lvl>
    <w:lvl w:ilvl="3" w:tplc="042C000F" w:tentative="1">
      <w:start w:val="1"/>
      <w:numFmt w:val="decimal"/>
      <w:lvlText w:val="%4."/>
      <w:lvlJc w:val="left"/>
      <w:pPr>
        <w:ind w:left="2880" w:hanging="360"/>
      </w:pPr>
    </w:lvl>
    <w:lvl w:ilvl="4" w:tplc="042C0019" w:tentative="1">
      <w:start w:val="1"/>
      <w:numFmt w:val="lowerLetter"/>
      <w:lvlText w:val="%5."/>
      <w:lvlJc w:val="left"/>
      <w:pPr>
        <w:ind w:left="3600" w:hanging="360"/>
      </w:pPr>
    </w:lvl>
    <w:lvl w:ilvl="5" w:tplc="042C001B" w:tentative="1">
      <w:start w:val="1"/>
      <w:numFmt w:val="lowerRoman"/>
      <w:lvlText w:val="%6."/>
      <w:lvlJc w:val="right"/>
      <w:pPr>
        <w:ind w:left="4320" w:hanging="180"/>
      </w:pPr>
    </w:lvl>
    <w:lvl w:ilvl="6" w:tplc="042C000F" w:tentative="1">
      <w:start w:val="1"/>
      <w:numFmt w:val="decimal"/>
      <w:lvlText w:val="%7."/>
      <w:lvlJc w:val="left"/>
      <w:pPr>
        <w:ind w:left="5040" w:hanging="360"/>
      </w:pPr>
    </w:lvl>
    <w:lvl w:ilvl="7" w:tplc="042C0019" w:tentative="1">
      <w:start w:val="1"/>
      <w:numFmt w:val="lowerLetter"/>
      <w:lvlText w:val="%8."/>
      <w:lvlJc w:val="left"/>
      <w:pPr>
        <w:ind w:left="5760" w:hanging="360"/>
      </w:pPr>
    </w:lvl>
    <w:lvl w:ilvl="8" w:tplc="042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0000008"/>
    <w:multiLevelType w:val="hybridMultilevel"/>
    <w:tmpl w:val="52981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z-Latn-A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az-Latn-AZ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paragraph" w:styleId="style3">
    <w:name w:val="heading 3"/>
    <w:basedOn w:val="style0"/>
    <w:next w:val="style0"/>
    <w:link w:val="style4102"/>
    <w:qFormat/>
    <w:uiPriority w:val="9"/>
    <w:pPr>
      <w:keepNext/>
      <w:keepLines/>
      <w:spacing w:before="40" w:after="0"/>
      <w:outlineLvl w:val="2"/>
    </w:pPr>
    <w:rPr>
      <w:rFonts w:ascii="Calibri Light" w:cs="宋体" w:eastAsia="宋体" w:hAnsi="Calibri Light"/>
      <w:color w:val="1f4d78"/>
      <w:sz w:val="24"/>
      <w:szCs w:val="24"/>
    </w:rPr>
  </w:style>
  <w:style w:type="paragraph" w:styleId="style4">
    <w:name w:val="heading 4"/>
    <w:basedOn w:val="style0"/>
    <w:next w:val="style4"/>
    <w:link w:val="style4097"/>
    <w:qFormat/>
    <w:uiPriority w:val="9"/>
    <w:pPr>
      <w:spacing w:before="100" w:beforeAutospacing="true" w:after="100" w:afterAutospacing="true" w:lineRule="auto" w:line="240"/>
      <w:outlineLvl w:val="3"/>
    </w:pPr>
    <w:rPr>
      <w:rFonts w:ascii="Times New Roman" w:cs="Times New Roman" w:eastAsia="Times New Roman" w:hAnsi="Times New Roman"/>
      <w:b/>
      <w:bCs/>
      <w:sz w:val="24"/>
      <w:szCs w:val="24"/>
      <w:lang w:eastAsia="az-Latn-AZ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table" w:styleId="style154">
    <w:name w:val="Table Grid"/>
    <w:basedOn w:val="style105"/>
    <w:next w:val="style154"/>
    <w:uiPriority w:val="39"/>
    <w:pPr>
      <w:spacing w:after="0" w:lineRule="auto" w:line="240"/>
    </w:pPr>
    <w:rPr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character" w:styleId="style85">
    <w:name w:val="Hyperlink"/>
    <w:basedOn w:val="style65"/>
    <w:next w:val="style85"/>
    <w:uiPriority w:val="99"/>
    <w:rPr>
      <w:color w:val="0563c1"/>
      <w:u w:val="single"/>
    </w:rPr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character" w:customStyle="1" w:styleId="style4097">
    <w:name w:val="Heading 4 Char_8c5c03e0-cc01-4ae1-8498-0fbd259ad043"/>
    <w:basedOn w:val="style65"/>
    <w:next w:val="style4097"/>
    <w:link w:val="style4"/>
    <w:uiPriority w:val="9"/>
    <w:rPr>
      <w:rFonts w:ascii="Times New Roman" w:cs="Times New Roman" w:eastAsia="Times New Roman" w:hAnsi="Times New Roman"/>
      <w:b/>
      <w:bCs/>
      <w:sz w:val="24"/>
      <w:szCs w:val="24"/>
      <w:lang w:eastAsia="az-Latn-AZ"/>
    </w:rPr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paragraph" w:customStyle="1" w:styleId="style4098">
    <w:name w:val="Liste Paragraf"/>
    <w:basedOn w:val="style0"/>
    <w:next w:val="style4098"/>
    <w:qFormat/>
    <w:uiPriority w:val="34"/>
    <w:pPr>
      <w:spacing w:after="200" w:lineRule="auto" w:line="276"/>
      <w:ind w:left="720"/>
      <w:contextualSpacing/>
    </w:pPr>
    <w:rPr>
      <w:rFonts w:ascii="Calibri" w:cs="Times New Roman" w:eastAsia="Calibri" w:hAnsi="Calibri"/>
      <w:lang w:val="en-US"/>
    </w:rPr>
  </w:style>
  <w:style w:type="paragraph" w:styleId="style66">
    <w:name w:val="Body Text"/>
    <w:basedOn w:val="style0"/>
    <w:next w:val="style66"/>
    <w:link w:val="style4099"/>
    <w:pPr>
      <w:tabs>
        <w:tab w:val="left" w:leader="none" w:pos="6876"/>
      </w:tabs>
      <w:spacing w:after="0" w:lineRule="auto" w:line="360"/>
      <w:jc w:val="both"/>
      <w:outlineLvl w:val="0"/>
    </w:pPr>
    <w:rPr>
      <w:rFonts w:ascii="Times Roman AzLat" w:cs="Times New Roman" w:eastAsia="Times New Roman" w:hAnsi="Times Roman AzLat"/>
      <w:sz w:val="28"/>
      <w:szCs w:val="20"/>
      <w:lang w:val="ru-RU"/>
    </w:rPr>
  </w:style>
  <w:style w:type="character" w:customStyle="1" w:styleId="style4099">
    <w:name w:val="Body Text Char"/>
    <w:basedOn w:val="style65"/>
    <w:next w:val="style4099"/>
    <w:link w:val="style66"/>
    <w:rPr>
      <w:rFonts w:ascii="Times Roman AzLat" w:cs="Times New Roman" w:eastAsia="Times New Roman" w:hAnsi="Times Roman AzLat"/>
      <w:sz w:val="28"/>
      <w:szCs w:val="20"/>
      <w:lang w:val="ru-RU"/>
    </w:rPr>
  </w:style>
  <w:style w:type="paragraph" w:customStyle="1" w:styleId="style4100">
    <w:name w:val="Default"/>
    <w:next w:val="style4100"/>
    <w:pPr>
      <w:autoSpaceDE w:val="false"/>
      <w:autoSpaceDN w:val="false"/>
      <w:adjustRightInd w:val="false"/>
      <w:spacing w:after="0" w:lineRule="auto" w:line="240"/>
    </w:pPr>
    <w:rPr>
      <w:rFonts w:ascii="Century Schoolbook" w:cs="Century Schoolbook" w:eastAsia="Times New Roman" w:hAnsi="Century Schoolbook"/>
      <w:color w:val="000000"/>
      <w:sz w:val="24"/>
      <w:szCs w:val="24"/>
      <w:lang w:val="en-US"/>
    </w:rPr>
  </w:style>
  <w:style w:type="character" w:customStyle="1" w:styleId="style4101">
    <w:name w:val="smtxt"/>
    <w:basedOn w:val="style65"/>
    <w:next w:val="style4101"/>
  </w:style>
  <w:style w:type="character" w:customStyle="1" w:styleId="style4102">
    <w:name w:val="Heading 3 Char_0b5f0258-64c5-49a1-9fe5-3b13c39f9014"/>
    <w:basedOn w:val="style65"/>
    <w:next w:val="style4102"/>
    <w:link w:val="style3"/>
    <w:uiPriority w:val="9"/>
    <w:rPr>
      <w:rFonts w:ascii="Calibri Light" w:cs="宋体" w:eastAsia="宋体" w:hAnsi="Calibri Light"/>
      <w:color w:val="1f4d78"/>
      <w:sz w:val="24"/>
      <w:szCs w:val="24"/>
    </w:rPr>
  </w:style>
  <w:style w:type="table" w:styleId="style167">
    <w:name w:val="Medium Grid 3"/>
    <w:basedOn w:val="style105"/>
    <w:next w:val="style167"/>
    <w:uiPriority w:val="69"/>
    <w:pPr/>
    <w:rPr>
      <w:rFonts w:ascii="Calibri" w:cs="SimSun" w:eastAsia="Calibri" w:hAnsi="Calibri"/>
      <w:lang w:val="en-US"/>
    </w:rPr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c0c0c0"/>
      <w:tblCellMar>
        <w:top w:w="0" w:type="dxa"/>
        <w:left w:w="108" w:type="dxa"/>
        <w:bottom w:w="0" w:type="dxa"/>
        <w:right w:w="108" w:type="dxa"/>
      </w:tblCellMar>
    </w:tblPr>
    <w:tblStylePr w:type="firstRow">
      <w:pPr/>
      <w:rPr>
        <w:b/>
        <w:bCs/>
        <w:i w:val="false"/>
        <w:iCs w:val="false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000000"/>
      </w:tcPr>
    </w:tblStylePr>
    <w:tblStylePr w:type="lastRow">
      <w:pPr/>
      <w:rPr>
        <w:b/>
        <w:bCs/>
        <w:i w:val="false"/>
        <w:iCs w:val="false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000000"/>
      </w:tcPr>
    </w:tblStylePr>
    <w:tblStylePr w:type="band1Horz">
      <w:pPr/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808080"/>
      </w:tcPr>
    </w:tblStylePr>
    <w:tblStylePr w:type="firstCol">
      <w:pPr/>
      <w:rPr>
        <w:b/>
        <w:bCs/>
        <w:i w:val="false"/>
        <w:iCs w:val="false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000000"/>
      </w:tcPr>
    </w:tblStylePr>
    <w:tblStylePr w:type="lastCol">
      <w:pPr/>
      <w:rPr>
        <w:b/>
        <w:bCs/>
        <w:i w:val="false"/>
        <w:iCs w:val="false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pPr/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808080"/>
      </w:tcPr>
    </w:tblStylePr>
    <w:tcPr>
      <w:tcBorders/>
      <w:shd w:val="clear" w:color="auto" w:fill="c0c0c0"/>
    </w:tcPr>
  </w:style>
</w:styles>
</file>

<file path=word/_rels/document.xml.rels><?xml version="1.0" encoding="UTF-8"?>
<Relationships xmlns="http://schemas.openxmlformats.org/package/2006/relationships"><Relationship Id="rId11" Type="http://schemas.openxmlformats.org/officeDocument/2006/relationships/fontTable" Target="fontTable.xml"/><Relationship Id="rId10" Type="http://schemas.openxmlformats.org/officeDocument/2006/relationships/styles" Target="styles.xml"/><Relationship Id="rId13" Type="http://schemas.openxmlformats.org/officeDocument/2006/relationships/theme" Target="theme/theme1.xml"/><Relationship Id="rId12" Type="http://schemas.openxmlformats.org/officeDocument/2006/relationships/settings" Target="settings.xml"/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9" Type="http://schemas.openxmlformats.org/officeDocument/2006/relationships/image" Target="media/image6.png"/><Relationship Id="rId5" Type="http://schemas.openxmlformats.org/officeDocument/2006/relationships/image" Target="media/image2.pn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Words>534</Words>
  <Pages>1</Pages>
  <Characters>4113</Characters>
  <Application>WPS Office</Application>
  <DocSecurity>0</DocSecurity>
  <Paragraphs>261</Paragraphs>
  <ScaleCrop>false</ScaleCrop>
  <LinksUpToDate>false</LinksUpToDate>
  <CharactersWithSpaces>4590</CharactersWithSpaces>
  <SharedDoc>false</SharedDoc>
  <HyperlinksChanged>false</HyperlinksChanged>
  <AppVersion>15.000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2024-08-25T17:39:00Z</dcterms:created>
  <dc:creator>User</dc:creator>
  <lastModifiedBy>2201117SG</lastModifiedBy>
  <lastPrinted>2024-10-14T14:57:00Z</lastPrinted>
  <dcterms:modified xsi:type="dcterms:W3CDTF">2025-04-07T11:43:42Z</dcterms:modified>
  <revision>22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b16790b92b9641d386261ba4ce0ac9cc</vt:lpwstr>
  </property>
</Properties>
</file>