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 mc:Ignorable="w14 wp14 ">
  <w:body>
    <w:tbl>
      <w:tblPr>
        <w:tblStyle w:val="TableGrid"/>
        <w:tblW w:w="9445" w:type="dxa"/>
        <w:tblLook w:val="04A0"/>
      </w:tblPr>
      <w:tblGrid>
        <w:gridCol w:w="2019"/>
        <w:gridCol w:w="3222"/>
        <w:gridCol w:w="2534"/>
        <w:gridCol w:w="1670"/>
      </w:tblGrid>
      <w:tr>
        <w:trPr>
          <w:trHeight w:val="2400"/>
        </w:trPr>
        <w:tc>
          <w:tcPr>
            <w:cnfStyle w:val="101000000000"/>
            <w:tcW w:w="1776" w:type="dxa"/>
          </w:tcPr>
          <w:p w14:paraId="00000001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drawing xmlns:mc="http://schemas.openxmlformats.org/markup-compatibility/2006">
                <wp:inline>
                  <wp:extent cx="1144905" cy="152527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picLocks noGrp="0" noSelect="0" noChangeAspect="1" noMove="0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100000000000"/>
            <w:tcW w:w="3327" w:type="dxa"/>
          </w:tcPr>
          <w:p w14:paraId="00000002">
            <w:pPr>
              <w:rPr>
                <w:rFonts w:ascii="Times New Roman" w:cs="Times New Roman" w:hAnsi="Times New Roman"/>
                <w:b/>
                <w:color w:val="2f5395" w:themeColor="accent5" w:themeShade="bf"/>
                <w:sz w:val="20"/>
              </w:rPr>
            </w:pPr>
            <w:r>
              <w:rPr>
                <w:rFonts w:ascii="Times New Roman" w:cs="Times New Roman" w:hAnsi="Times New Roman"/>
                <w:b/>
                <w:color w:val="2f5395" w:themeColor="accent5" w:themeShade="bf"/>
                <w:sz w:val="20"/>
              </w:rPr>
              <w:t>Əbdülhəsənova Rahibə</w:t>
            </w:r>
          </w:p>
          <w:p w14:paraId="00000003">
            <w:pPr>
              <w:rPr>
                <w:rFonts w:ascii="Times New Roman" w:cs="Times New Roman" w:hAnsi="Times New Roman"/>
                <w:color w:val="808080" w:themeColor="background1" w:themeShade="80"/>
                <w:sz w:val="20"/>
              </w:rPr>
            </w:pPr>
          </w:p>
          <w:p w14:paraId="00000004">
            <w:pPr>
              <w:rPr>
                <w:rFonts w:ascii="Times New Roman" w:cs="Times New Roman" w:hAnsi="Times New Roman"/>
              </w:rPr>
            </w:pPr>
          </w:p>
          <w:p w14:paraId="00000005">
            <w:pPr>
              <w:rPr>
                <w:rFonts w:ascii="Times New Roman" w:cs="Times New Roman" w:hAnsi="Times New Roman"/>
                <w:i/>
                <w:color w:val="808080" w:themeColor="background1" w:themeShade="80"/>
                <w:sz w:val="20"/>
              </w:rPr>
            </w:pP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anchor allowOverlap="1" behindDoc="0" distT="0" distB="0" distL="114300" distR="114300" layoutInCell="1" locked="0" relativeHeight="251659264" simplePos="0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74930</wp:posOffset>
                  </wp:positionV>
                  <wp:extent cx="218440" cy="215900"/>
                  <wp:effectExtent l="0" t="0" r="0" b="0"/>
                  <wp:wrapSquare wrapText="bothSides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9126" t="3356" r="8445" b="3457"/>
                          <a:stretch/>
                        </pic:blipFill>
                        <pic:spPr>
                          <a:xfrm>
                            <a:off x="0" y="0"/>
                            <a:ext cx="21844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cs="Times New Roman" w:hAnsi="Times New Roman"/>
              </w:rPr>
              <w:t xml:space="preserve"> </w:t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instrText xml:space="preserve">HYPERLINK "mailto:ebdulhesenovarahibe@ndu.edu.az" </w:instrText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t>ebdulhesenovarahibe@ndu.edu.az</w:t>
            </w:r>
            <w:r>
              <w:rPr>
                <w:rFonts w:ascii="Times New Roman" w:cs="Times New Roman" w:hAnsi="Times New Roman"/>
                <w:i/>
                <w:color w:val="808080" w:themeColor="background1" w:themeShade="80"/>
                <w:sz w:val="20"/>
              </w:rPr>
              <w:fldChar w:fldCharType="end"/>
            </w:r>
          </w:p>
          <w:p w14:paraId="00000006">
            <w:pPr>
              <w:rPr>
                <w:rFonts w:ascii="Times New Roman" w:cs="Times New Roman" w:hAnsi="Times New Roman"/>
                <w:i/>
                <w:color w:val="808080" w:themeColor="background1" w:themeShade="80"/>
                <w:sz w:val="20"/>
              </w:rPr>
            </w:pPr>
            <w:r>
              <w:rPr>
                <w:rFonts w:ascii="Times New Roman" w:cs="Times New Roman" w:hAnsi="Times New Roman"/>
                <w:i/>
                <w:color w:val="808080" w:themeColor="background1" w:themeShade="80"/>
                <w:sz w:val="20"/>
              </w:rPr>
              <w:t xml:space="preserve"> </w:t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instrText xml:space="preserve">HYPERLINK "mailto:abdulhasanovarahiba@gmail.com" </w:instrText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  <w:i/>
                <w:sz w:val="20"/>
              </w:rPr>
              <w:t>abdulhasanovarahiba@gmail.com</w:t>
            </w:r>
            <w:r>
              <w:rPr>
                <w:rFonts w:ascii="Times New Roman" w:cs="Times New Roman" w:hAnsi="Times New Roman"/>
                <w:i/>
                <w:color w:val="808080" w:themeColor="background1" w:themeShade="80"/>
                <w:sz w:val="20"/>
              </w:rPr>
              <w:fldChar w:fldCharType="end"/>
            </w:r>
          </w:p>
          <w:p w14:paraId="00000007">
            <w:pPr>
              <w:rPr>
                <w:rFonts w:ascii="Times New Roman" w:cs="Times New Roman" w:hAnsi="Times New Roman"/>
              </w:rPr>
            </w:pPr>
          </w:p>
          <w:p w14:paraId="00000008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  <w:sz w:val="20"/>
                <w:lang w:val="en-US"/>
              </w:rPr>
              <w:drawing xmlns:mc="http://schemas.openxmlformats.org/markup-compatibility/2006">
                <wp:anchor allowOverlap="1" behindDoc="0" distT="0" distB="0" distL="114300" distR="114300" layoutInCell="1" locked="0" relativeHeight="251658240" simplePos="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35560</wp:posOffset>
                  </wp:positionV>
                  <wp:extent cx="234315" cy="234315"/>
                  <wp:effectExtent l="0" t="0" r="0" b="0"/>
                  <wp:wrapSquare wrapText="bothSides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cs="Times New Roman" w:hAnsi="Times New Roman"/>
                <w:color w:val="808080" w:themeColor="background1" w:themeShade="80"/>
                <w:sz w:val="20"/>
              </w:rPr>
              <w:t>+994 50 7325517</w:t>
            </w:r>
          </w:p>
        </w:tc>
        <w:tc>
          <w:tcPr>
            <w:cnfStyle w:val="100000000000"/>
            <w:tcW w:w="2617" w:type="dxa"/>
          </w:tcPr>
          <w:p w14:paraId="00000009">
            <w:pPr>
              <w:shd w:val="clear" w:color="auto" w:fill="ffffff"/>
              <w:spacing w:after="120"/>
              <w:rPr>
                <w:rFonts w:ascii="Times New Roman" w:cs="Times New Roman" w:eastAsia="Times New Roman" w:hAnsi="Times New Roman"/>
                <w:b/>
                <w:bCs/>
                <w:color w:val="002060"/>
                <w:sz w:val="16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2060"/>
                <w:sz w:val="16"/>
                <w:szCs w:val="21"/>
                <w:lang w:eastAsia="az-Latn-AZ"/>
              </w:rPr>
              <w:t>TƏHSİL HAQQINDA MƏLUMAT</w:t>
            </w:r>
          </w:p>
          <w:p w14:paraId="0000000A">
            <w:pPr>
              <w:shd w:val="clear" w:color="auto" w:fill="ffffff"/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>2009-2013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Bakalavriat</w:t>
            </w:r>
          </w:p>
          <w:p w14:paraId="0000000B">
            <w:pPr>
              <w:shd w:val="clear" w:color="auto" w:fill="ffffff"/>
              <w:spacing w:after="120"/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Azərbaycan</w:t>
            </w: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Dövlət</w:t>
            </w: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İqtisad</w:t>
            </w: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 Universiteti. </w:t>
            </w: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Dünya iqtisadiyyatı</w:t>
            </w:r>
          </w:p>
          <w:p w14:paraId="0000000C">
            <w:pPr>
              <w:shd w:val="clear" w:color="auto" w:fill="ffffff"/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>2013-2015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 xml:space="preserve"> Magistratura</w:t>
            </w:r>
          </w:p>
          <w:p w14:paraId="0000000D">
            <w:pPr>
              <w:shd w:val="clear" w:color="auto" w:fill="ffffff"/>
              <w:spacing w:after="120"/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Azərbaycan Dövlət İqtisad Universiteti. Dünya iqtisadiyyatı</w:t>
            </w:r>
          </w:p>
          <w:p w14:paraId="0000000E">
            <w:pPr>
              <w:shd w:val="clear" w:color="auto" w:fill="ffffff"/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>202</w:t>
            </w: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16"/>
                <w:szCs w:val="21"/>
                <w:lang w:eastAsia="az-Latn-AZ"/>
              </w:rPr>
              <w:t>4 Doktorantura</w:t>
            </w:r>
          </w:p>
          <w:p w14:paraId="0000000F">
            <w:pPr>
              <w:shd w:val="clear" w:color="auto" w:fill="ffffff"/>
              <w:spacing w:after="120"/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</w:pP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 xml:space="preserve">Naxçıvan Dövlət Universiteti. </w:t>
            </w:r>
            <w:r>
              <w:rPr>
                <w:rFonts w:ascii="Times New Roman" w:cs="Times New Roman" w:eastAsia="Times New Roman" w:hAnsi="Times New Roman"/>
                <w:bCs/>
                <w:color w:val="808080" w:themeColor="background1" w:themeShade="80"/>
                <w:sz w:val="12"/>
                <w:szCs w:val="21"/>
                <w:lang w:eastAsia="az-Latn-AZ"/>
              </w:rPr>
              <w:t>Dünya iqtisadiyyatı</w:t>
            </w:r>
          </w:p>
          <w:p w14:paraId="00000010">
            <w:pPr>
              <w:shd w:val="clear" w:color="auto" w:fill="ffffff"/>
              <w:spacing w:after="100"/>
              <w:rPr>
                <w:rFonts w:ascii="Times New Roman" w:cs="Times New Roman" w:eastAsia="Times New Roman" w:hAnsi="Times New Roman"/>
                <w:bCs/>
                <w:color w:val="000000"/>
                <w:sz w:val="12"/>
                <w:szCs w:val="21"/>
                <w:lang w:eastAsia="az-Latn-AZ"/>
              </w:rPr>
            </w:pPr>
          </w:p>
        </w:tc>
        <w:tc>
          <w:tcPr>
            <w:cnfStyle w:val="100000000000"/>
            <w:tcW w:w="1725" w:type="dxa"/>
          </w:tcPr>
          <w:p w14:paraId="00000011">
            <w:pPr>
              <w:rPr>
                <w:rFonts w:ascii="Times New Roman" w:cs="Times New Roman" w:hAnsi="Times New Roman"/>
                <w:b/>
                <w:sz w:val="16"/>
              </w:rPr>
            </w:pPr>
            <w:r>
              <w:rPr>
                <w:rFonts w:ascii="Times New Roman" w:cs="Times New Roman" w:hAnsi="Times New Roman"/>
                <w:b/>
                <w:sz w:val="16"/>
              </w:rPr>
              <w:t>TƏDQİQAT SAHƏLƏRİ</w:t>
            </w:r>
          </w:p>
          <w:p w14:paraId="00000012">
            <w:pPr>
              <w:rPr>
                <w:rFonts w:ascii="Times New Roman" w:cs="Times New Roman" w:hAnsi="Times New Roman"/>
                <w:b/>
                <w:sz w:val="16"/>
              </w:rPr>
            </w:pPr>
          </w:p>
          <w:p w14:paraId="00000013">
            <w:pP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  <w:t>Dünya iqtisadiyyatı</w:t>
            </w:r>
          </w:p>
          <w:p w14:paraId="00000014">
            <w:pP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  <w:t xml:space="preserve">İdarəetmə </w:t>
            </w:r>
          </w:p>
          <w:p w14:paraId="00000015">
            <w:pP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  <w:sz w:val="16"/>
              </w:rPr>
              <w:t>Beynəlxalq iqtisadi münasibətlər</w:t>
            </w:r>
          </w:p>
        </w:tc>
      </w:tr>
      <w:tr>
        <w:trPr/>
        <w:tc>
          <w:tcPr>
            <w:cnfStyle w:val="001000100000"/>
            <w:tcW w:w="1776" w:type="dxa"/>
          </w:tcPr>
          <w:p w14:paraId="00000016">
            <w:pPr>
              <w:rPr>
                <w:rFonts w:ascii="Times New Roman" w:cs="Times New Roman" w:hAnsi="Times New Roman"/>
              </w:rPr>
            </w:pPr>
          </w:p>
        </w:tc>
        <w:tc>
          <w:tcPr>
            <w:cnfStyle w:val="000000100000"/>
            <w:tcW w:w="3327" w:type="dxa"/>
          </w:tcPr>
          <w:p w14:paraId="00000017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lang w:eastAsia="az-Latn-AZ"/>
              </w:rPr>
              <w:t xml:space="preserve">                          </w:t>
            </w: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inline distT="0" distB="0" distL="114300" distR="114300">
                  <wp:extent cx="252000" cy="252000"/>
                  <wp:effectExtent l="0" t="0" r="0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2617" w:type="dxa"/>
          </w:tcPr>
          <w:p w14:paraId="00000018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color w:val="ff0000"/>
              </w:rPr>
              <w:t>Veb səhifəyə keçid</w:t>
            </w:r>
          </w:p>
        </w:tc>
        <w:tc>
          <w:tcPr>
            <w:cnfStyle w:val="000000100000"/>
            <w:tcW w:w="1725" w:type="dxa"/>
          </w:tcPr>
          <w:p w14:paraId="00000019">
            <w:pPr>
              <w:rPr>
                <w:rFonts w:ascii="Times New Roman" w:cs="Times New Roman" w:hAnsi="Times New Roman"/>
              </w:rPr>
            </w:pPr>
          </w:p>
        </w:tc>
      </w:tr>
      <w:tr>
        <w:trPr/>
        <w:tc>
          <w:tcPr>
            <w:cnfStyle w:val="001000010000"/>
            <w:tcW w:w="1776" w:type="dxa"/>
          </w:tcPr>
          <w:p w14:paraId="0000001A">
            <w:pPr>
              <w:rPr>
                <w:rFonts w:ascii="Times New Roman" w:cs="Times New Roman" w:hAnsi="Times New Roman"/>
              </w:rPr>
            </w:pPr>
          </w:p>
        </w:tc>
        <w:tc>
          <w:tcPr>
            <w:cnfStyle w:val="000000010000"/>
            <w:tcW w:w="3327" w:type="dxa"/>
          </w:tcPr>
          <w:p w14:paraId="0000001B">
            <w:pPr>
              <w:rPr>
                <w:rFonts w:ascii="Times New Roman" w:cs="Times New Roman" w:hAnsi="Times New Roman"/>
              </w:rPr>
            </w:pPr>
          </w:p>
        </w:tc>
        <w:tc>
          <w:tcPr>
            <w:cnfStyle w:val="000000010000"/>
            <w:tcW w:w="2617" w:type="dxa"/>
          </w:tcPr>
          <w:p w14:paraId="0000001C">
            <w:pPr>
              <w:rPr>
                <w:rFonts w:ascii="Times New Roman" w:cs="Times New Roman" w:hAnsi="Times New Roman"/>
              </w:rPr>
            </w:pPr>
          </w:p>
        </w:tc>
        <w:tc>
          <w:tcPr>
            <w:cnfStyle w:val="000000010000"/>
            <w:tcW w:w="1725" w:type="dxa"/>
          </w:tcPr>
          <w:p w14:paraId="0000001D">
            <w:pPr>
              <w:rPr>
                <w:rFonts w:ascii="Times New Roman" w:cs="Times New Roman" w:hAnsi="Times New Roman"/>
              </w:rPr>
            </w:pPr>
          </w:p>
        </w:tc>
      </w:tr>
    </w:tbl>
    <w:p w14:paraId="0000001E">
      <w:pPr>
        <w:rPr>
          <w:rFonts w:ascii="Times New Roman" w:cs="Times New Roman" w:hAnsi="Times New Roman"/>
        </w:rPr>
      </w:pPr>
    </w:p>
    <w:p w14:paraId="0000001F">
      <w:pPr>
        <w:rPr>
          <w:rFonts w:ascii="Times New Roman" w:cs="Times New Roman" w:hAnsi="Times New Roman"/>
          <w:color w:val="808080" w:themeColor="background1" w:themeShade="80"/>
        </w:rPr>
      </w:pPr>
    </w:p>
    <w:tbl>
      <w:tblPr>
        <w:tblStyle w:val="TableGrid"/>
        <w:tblW w:w="0" w:type="auto"/>
        <w:tblLook w:val="04A0"/>
      </w:tblPr>
      <w:tblGrid>
        <w:gridCol w:w="490"/>
        <w:gridCol w:w="8526"/>
      </w:tblGrid>
      <w:tr>
        <w:trPr>
          <w:trHeight w:val="274"/>
        </w:trPr>
        <w:tc>
          <w:tcPr>
            <w:cnfStyle w:val="101000000000"/>
            <w:tcW w:w="562" w:type="dxa"/>
          </w:tcPr>
          <w:p w14:paraId="00000020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inline distT="0" distB="0" distL="114300" distR="114300">
                  <wp:extent cx="177677" cy="180000"/>
                  <wp:effectExtent l="0" t="0" r="0" b="0"/>
                  <wp:docPr id="14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2594" t="11605" r="11829" b="11830"/>
                          <a:stretch/>
                        </pic:blipFill>
                        <pic:spPr>
                          <a:xfrm>
                            <a:off x="0" y="0"/>
                            <a:ext cx="177677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100000000000"/>
            <w:tcW w:w="6804" w:type="dxa"/>
          </w:tcPr>
          <w:p w14:paraId="00000021">
            <w:pPr>
              <w:rPr>
                <w:rFonts w:ascii="Times New Roman" w:cs="Times New Roman" w:hAnsi="Times New Roman"/>
              </w:rPr>
            </w:pPr>
            <w:r>
              <w:rPr>
                <w:rStyle w:val="Hyperlink"/>
                <w:rFonts w:ascii="Times New Roman" w:cs="Times New Roman" w:hAnsi="Times New Roman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</w:rPr>
              <w:instrText xml:space="preserve">HYPERLINK "https://orcid.org/0009-0003-8702-7766" </w:instrText>
            </w:r>
            <w:r>
              <w:rPr>
                <w:rStyle w:val="Hyperlink"/>
                <w:rFonts w:ascii="Times New Roman" w:cs="Times New Roman" w:hAnsi="Times New Roman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</w:rPr>
              <w:t>https://orcid.org/0009-0003-8702-7766</w:t>
            </w:r>
            <w:r>
              <w:rPr>
                <w:rFonts w:ascii="Times New Roman" w:cs="Times New Roman" w:hAnsi="Times New Roman"/>
              </w:rPr>
              <w:fldChar w:fldCharType="end"/>
            </w:r>
          </w:p>
        </w:tc>
      </w:tr>
      <w:tr>
        <w:trPr/>
        <w:tc>
          <w:tcPr>
            <w:cnfStyle w:val="001000100000"/>
            <w:tcW w:w="562" w:type="dxa"/>
          </w:tcPr>
          <w:p w14:paraId="00000022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inline distT="0" distB="0" distL="114300" distR="114300">
                  <wp:extent cx="184994" cy="184994"/>
                  <wp:effectExtent l="0" t="0" r="0" b="0"/>
                  <wp:docPr id="15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4" cy="18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6804" w:type="dxa"/>
          </w:tcPr>
          <w:p w14:paraId="00000023">
            <w:pPr>
              <w:rPr>
                <w:rFonts w:ascii="Times New Roman" w:cs="Times New Roman" w:hAnsi="Times New Roman"/>
              </w:rPr>
            </w:pPr>
            <w:r>
              <w:rPr>
                <w:rStyle w:val="Hyperlink"/>
                <w:rFonts w:ascii="Times New Roman" w:cs="Times New Roman" w:hAnsi="Times New Roman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</w:rPr>
              <w:instrText xml:space="preserve">HYPERLINK "https://id.elsevier.com/settings/redirect?code=QuW9RGvsN-4cC_CiVdxj54sNJCOh4l5t0XJsOmWO" </w:instrText>
            </w:r>
            <w:r>
              <w:rPr>
                <w:rStyle w:val="Hyperlink"/>
                <w:rFonts w:ascii="Times New Roman" w:cs="Times New Roman" w:hAnsi="Times New Roman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</w:rPr>
              <w:t>https://id.elsevier.com/settings/redirect?code=QuW9RGvsN-4cC_CiVdxj54sNJCOh4l5t0XJsOmWO#</w:t>
            </w:r>
            <w:r>
              <w:rPr>
                <w:rFonts w:ascii="Times New Roman" w:cs="Times New Roman" w:hAnsi="Times New Roman"/>
              </w:rPr>
              <w:fldChar w:fldCharType="end"/>
            </w:r>
          </w:p>
        </w:tc>
      </w:tr>
      <w:tr>
        <w:trPr/>
        <w:tc>
          <w:tcPr>
            <w:cnfStyle w:val="001000010000"/>
            <w:tcW w:w="562" w:type="dxa"/>
          </w:tcPr>
          <w:p w14:paraId="00000024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inline distT="0" distB="0" distL="114300" distR="114300">
                  <wp:extent cx="174423" cy="174423"/>
                  <wp:effectExtent l="0" t="0" r="0" b="0"/>
                  <wp:docPr id="16" name="Picture 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23" cy="17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10000"/>
            <w:tcW w:w="6804" w:type="dxa"/>
          </w:tcPr>
          <w:p w14:paraId="00000025">
            <w:pPr>
              <w:rPr>
                <w:rFonts w:ascii="Times New Roman" w:cs="Times New Roman" w:hAnsi="Times New Roman"/>
              </w:rPr>
            </w:pPr>
            <w:r>
              <w:rPr>
                <w:rStyle w:val="Hyperlink"/>
                <w:rFonts w:ascii="Times New Roman" w:cs="Times New Roman" w:hAnsi="Times New Roman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</w:rPr>
              <w:instrText xml:space="preserve">HYPERLINK "https://www.researchgate.net/profile/Rahiba-Abdulhasanova-2" </w:instrText>
            </w:r>
            <w:r>
              <w:rPr>
                <w:rStyle w:val="Hyperlink"/>
                <w:rFonts w:ascii="Times New Roman" w:cs="Times New Roman" w:hAnsi="Times New Roman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</w:rPr>
              <w:t>https://www.researchgate.net/profile/Rahiba-Abdulhasanova-2</w:t>
            </w:r>
            <w:r>
              <w:rPr>
                <w:rFonts w:ascii="Times New Roman" w:cs="Times New Roman" w:hAnsi="Times New Roman"/>
              </w:rPr>
              <w:fldChar w:fldCharType="end"/>
            </w:r>
          </w:p>
        </w:tc>
      </w:tr>
      <w:tr>
        <w:trPr/>
        <w:tc>
          <w:tcPr>
            <w:cnfStyle w:val="001000100000"/>
            <w:tcW w:w="562" w:type="dxa"/>
          </w:tcPr>
          <w:p w14:paraId="00000026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lang w:val="en-US"/>
              </w:rPr>
              <w:drawing xmlns:mc="http://schemas.openxmlformats.org/markup-compatibility/2006">
                <wp:inline distT="0" distB="0" distL="114300" distR="114300">
                  <wp:extent cx="200851" cy="200851"/>
                  <wp:effectExtent l="0" t="0" r="0" b="0"/>
                  <wp:docPr id="17" name="Picture 3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1" cy="200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6804" w:type="dxa"/>
          </w:tcPr>
          <w:p w14:paraId="00000027">
            <w:pPr>
              <w:rPr>
                <w:rFonts w:ascii="Times New Roman" w:cs="Times New Roman" w:hAnsi="Times New Roman"/>
              </w:rPr>
            </w:pPr>
            <w:r>
              <w:rPr>
                <w:rStyle w:val="Hyperlink"/>
                <w:rFonts w:ascii="Times New Roman" w:cs="Times New Roman" w:hAnsi="Times New Roman"/>
              </w:rPr>
              <w:fldChar w:fldCharType="begin"/>
            </w:r>
            <w:r>
              <w:rPr>
                <w:rStyle w:val="Hyperlink"/>
                <w:rFonts w:ascii="Times New Roman" w:cs="Times New Roman" w:hAnsi="Times New Roman"/>
              </w:rPr>
              <w:instrText xml:space="preserve">HYPERLINK "https://scholar.google.ca/citations?user=5OmDxwcAAAAJ&amp;hl=ru" </w:instrText>
            </w:r>
            <w:r>
              <w:rPr>
                <w:rStyle w:val="Hyperlink"/>
                <w:rFonts w:ascii="Times New Roman" w:cs="Times New Roman" w:hAnsi="Times New Roman"/>
              </w:rPr>
              <w:fldChar w:fldCharType="separate"/>
            </w:r>
            <w:r>
              <w:rPr>
                <w:rStyle w:val="Hyperlink"/>
                <w:rFonts w:ascii="Times New Roman" w:cs="Times New Roman" w:hAnsi="Times New Roman"/>
              </w:rPr>
              <w:t>https://scholar.google.ca/citations?user=5OmDxwcAAAAJ&amp;hl=ru</w:t>
            </w:r>
            <w:r>
              <w:rPr>
                <w:rFonts w:ascii="Times New Roman" w:cs="Times New Roman" w:hAnsi="Times New Roman"/>
              </w:rPr>
              <w:fldChar w:fldCharType="end"/>
            </w:r>
          </w:p>
        </w:tc>
      </w:tr>
    </w:tbl>
    <w:p w14:paraId="00000028">
      <w:pPr>
        <w:rPr>
          <w:rFonts w:ascii="Times New Roman" w:cs="Times New Roman" w:hAnsi="Times New Roman"/>
        </w:rPr>
      </w:pPr>
    </w:p>
    <w:p w14:paraId="00000029">
      <w:pPr>
        <w:rPr>
          <w:rFonts w:ascii="Times New Roman" w:cs="Times New Roman" w:hAnsi="Times New Roman"/>
        </w:rPr>
      </w:pPr>
    </w:p>
    <w:p w14:paraId="0000002A">
      <w:pPr>
        <w:pStyle w:val="ListParagraph"/>
        <w:numPr>
          <w:ilvl w:val="0"/>
          <w:numId w:val="1"/>
        </w:numPr>
        <w:rPr>
          <w:rFonts w:ascii="Times New Roman" w:cs="Times New Roman" w:hAnsi="Times New Roman"/>
          <w:b/>
          <w:color w:val="0070c0"/>
        </w:rPr>
      </w:pPr>
      <w:r>
        <w:rPr>
          <w:rFonts w:ascii="Times New Roman" w:cs="Times New Roman" w:hAnsi="Times New Roman"/>
          <w:b/>
          <w:color w:val="0070c0"/>
        </w:rPr>
        <w:t>ÜMUMİ MƏLUMATLAR</w:t>
      </w:r>
    </w:p>
    <w:tbl>
      <w:tblPr>
        <w:tblStyle w:val="TableGrid"/>
        <w:tblW w:w="0" w:type="auto"/>
        <w:tblLook w:val="04A0"/>
      </w:tblPr>
      <w:tblGrid>
        <w:gridCol w:w="3005"/>
        <w:gridCol w:w="3005"/>
        <w:gridCol w:w="3006"/>
      </w:tblGrid>
      <w:tr>
        <w:trPr/>
        <w:tc>
          <w:tcPr>
            <w:cnfStyle w:val="101000000000"/>
            <w:tcW w:w="3005" w:type="dxa"/>
          </w:tcPr>
          <w:p w14:paraId="0000002B">
            <w:pPr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b/>
                <w:color w:val="ff0000"/>
              </w:rPr>
              <w:t>Nəşrlər və metriklər</w:t>
            </w:r>
          </w:p>
        </w:tc>
        <w:tc>
          <w:tcPr>
            <w:cnfStyle w:val="100000000000"/>
            <w:tcW w:w="3005" w:type="dxa"/>
          </w:tcPr>
          <w:p w14:paraId="0000002C">
            <w:pPr>
              <w:rPr>
                <w:rFonts w:ascii="Times New Roman" w:cs="Times New Roman" w:hAnsi="Times New Roman"/>
              </w:rPr>
            </w:pPr>
          </w:p>
        </w:tc>
        <w:tc>
          <w:tcPr>
            <w:cnfStyle w:val="100000000000"/>
            <w:tcW w:w="3006" w:type="dxa"/>
          </w:tcPr>
          <w:p w14:paraId="0000002D">
            <w:pPr>
              <w:rPr>
                <w:rFonts w:ascii="Times New Roman" w:cs="Times New Roman" w:hAnsi="Times New Roman"/>
              </w:rPr>
            </w:pPr>
          </w:p>
        </w:tc>
      </w:tr>
      <w:tr>
        <w:trPr/>
        <w:tc>
          <w:tcPr>
            <w:cnfStyle w:val="001000100000"/>
            <w:tcW w:w="3005" w:type="dxa"/>
          </w:tcPr>
          <w:p w14:paraId="0000002E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Nəşr sayı: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  <w:r>
              <w:rPr>
                <w:rFonts w:ascii="Times New Roman" w:cs="Times New Roman" w:hAnsi="Times New Roman"/>
                <w:b/>
              </w:rPr>
              <w:t>17</w:t>
            </w:r>
          </w:p>
        </w:tc>
        <w:tc>
          <w:tcPr>
            <w:cnfStyle w:val="000000100000"/>
            <w:tcW w:w="3005" w:type="dxa"/>
          </w:tcPr>
          <w:p w14:paraId="0000002F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H index (Google scholar):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cnfStyle w:val="000000100000"/>
            <w:tcW w:w="3006" w:type="dxa"/>
          </w:tcPr>
          <w:p w14:paraId="00000030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İstinad (Google scholar):</w:t>
            </w:r>
          </w:p>
        </w:tc>
      </w:tr>
      <w:tr>
        <w:trPr/>
        <w:tc>
          <w:tcPr>
            <w:cnfStyle w:val="001000010000"/>
            <w:tcW w:w="3005" w:type="dxa"/>
          </w:tcPr>
          <w:p w14:paraId="00000031">
            <w:pPr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Dərslik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>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cnfStyle w:val="000000010000"/>
            <w:tcW w:w="3005" w:type="dxa"/>
          </w:tcPr>
          <w:p w14:paraId="00000032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H index (Scopus):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</w:p>
        </w:tc>
        <w:tc>
          <w:tcPr>
            <w:cnfStyle w:val="000000010000"/>
            <w:tcW w:w="3006" w:type="dxa"/>
          </w:tcPr>
          <w:p w14:paraId="00000033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İstinad (Scopus):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</w:p>
        </w:tc>
      </w:tr>
      <w:tr>
        <w:trPr/>
        <w:tc>
          <w:tcPr>
            <w:cnfStyle w:val="001000100000"/>
            <w:tcW w:w="3005" w:type="dxa"/>
          </w:tcPr>
          <w:p w14:paraId="00000034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Monoqrafiya</w:t>
            </w:r>
            <w:r>
              <w:rPr>
                <w:rFonts w:ascii="Times New Roman" w:cs="Times New Roman" w:hAnsi="Times New Roman"/>
                <w:b/>
                <w:color w:val="808080" w:themeColor="background1" w:themeShade="80"/>
              </w:rPr>
              <w:t>:</w:t>
            </w:r>
            <w:r>
              <w:rPr>
                <w:rFonts w:ascii="Times New Roman" w:cs="Times New Roman" w:hAnsi="Times New Roman"/>
                <w:b/>
              </w:rPr>
              <w:t xml:space="preserve"> 1</w:t>
            </w:r>
          </w:p>
        </w:tc>
        <w:tc>
          <w:tcPr>
            <w:cnfStyle w:val="000000100000"/>
            <w:tcW w:w="3005" w:type="dxa"/>
          </w:tcPr>
          <w:p w14:paraId="00000035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H index (Web of science): </w:t>
            </w:r>
          </w:p>
        </w:tc>
        <w:tc>
          <w:tcPr>
            <w:cnfStyle w:val="000000100000"/>
            <w:tcW w:w="3006" w:type="dxa"/>
          </w:tcPr>
          <w:p w14:paraId="00000036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>İstinad (Web of science):</w:t>
            </w: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 </w:t>
            </w:r>
          </w:p>
        </w:tc>
      </w:tr>
      <w:tr>
        <w:trPr/>
        <w:tc>
          <w:tcPr>
            <w:cnfStyle w:val="001000010000"/>
            <w:tcW w:w="3005" w:type="dxa"/>
          </w:tcPr>
          <w:p w14:paraId="00000037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Dərs və metodik vəsait: </w:t>
            </w:r>
            <w:r>
              <w:rPr>
                <w:rFonts w:ascii="Times New Roman" w:cs="Times New Roman" w:hAnsi="Times New Roman"/>
                <w:b/>
              </w:rPr>
              <w:t>6</w:t>
            </w:r>
          </w:p>
        </w:tc>
        <w:tc>
          <w:tcPr>
            <w:cnfStyle w:val="000000010000"/>
            <w:tcW w:w="3005" w:type="dxa"/>
          </w:tcPr>
          <w:p w14:paraId="00000038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Qrant: </w:t>
            </w:r>
          </w:p>
        </w:tc>
        <w:tc>
          <w:tcPr>
            <w:cnfStyle w:val="000000010000"/>
            <w:tcW w:w="3006" w:type="dxa"/>
          </w:tcPr>
          <w:p w14:paraId="00000039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Jurnal redaktorluğu: </w:t>
            </w:r>
          </w:p>
        </w:tc>
      </w:tr>
      <w:tr>
        <w:trPr/>
        <w:tc>
          <w:tcPr>
            <w:cnfStyle w:val="001000100000"/>
            <w:tcW w:w="3005" w:type="dxa"/>
          </w:tcPr>
          <w:p w14:paraId="0000003A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Məqalə və tezis: </w:t>
            </w:r>
            <w:r>
              <w:rPr>
                <w:rFonts w:ascii="Times New Roman" w:cs="Times New Roman" w:hAnsi="Times New Roman"/>
                <w:b/>
              </w:rPr>
              <w:t>11</w:t>
            </w:r>
          </w:p>
        </w:tc>
        <w:tc>
          <w:tcPr>
            <w:cnfStyle w:val="000000100000"/>
            <w:tcW w:w="3005" w:type="dxa"/>
          </w:tcPr>
          <w:p w14:paraId="0000003B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Patent: </w:t>
            </w:r>
          </w:p>
        </w:tc>
        <w:tc>
          <w:tcPr>
            <w:cnfStyle w:val="000000100000"/>
            <w:tcW w:w="3006" w:type="dxa"/>
          </w:tcPr>
          <w:p w14:paraId="0000003C">
            <w:pPr>
              <w:rPr>
                <w:rFonts w:ascii="Times New Roman" w:cs="Times New Roman" w:hAnsi="Times New Roman"/>
                <w:color w:val="808080" w:themeColor="background1" w:themeShade="80"/>
              </w:rPr>
            </w:pPr>
            <w:r>
              <w:rPr>
                <w:rFonts w:ascii="Times New Roman" w:cs="Times New Roman" w:hAnsi="Times New Roman"/>
                <w:color w:val="808080" w:themeColor="background1" w:themeShade="80"/>
              </w:rPr>
              <w:t xml:space="preserve">Hakimlik: </w:t>
            </w:r>
          </w:p>
        </w:tc>
      </w:tr>
    </w:tbl>
    <w:p w14:paraId="0000003D">
      <w:pPr>
        <w:rPr>
          <w:rFonts w:ascii="Times New Roman" w:cs="Times New Roman" w:hAnsi="Times New Roman"/>
        </w:rPr>
      </w:pPr>
    </w:p>
    <w:tbl>
      <w:tblPr>
        <w:tblStyle w:val="TableGrid"/>
        <w:tblW w:w="9254" w:type="dxa"/>
        <w:tblLook w:val="04A0"/>
      </w:tblPr>
      <w:tblGrid>
        <w:gridCol w:w="2122"/>
        <w:gridCol w:w="7132"/>
      </w:tblGrid>
      <w:tr>
        <w:trPr>
          <w:trHeight w:val="316"/>
        </w:trPr>
        <w:tc>
          <w:tcPr>
            <w:cnfStyle w:val="101000000000"/>
            <w:tcW w:w="2122" w:type="dxa"/>
          </w:tcPr>
          <w:p w14:paraId="0000003E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color w:val="ff0000"/>
                <w:sz w:val="20"/>
              </w:rPr>
              <w:t>Əlaqə</w:t>
            </w:r>
          </w:p>
        </w:tc>
        <w:tc>
          <w:tcPr>
            <w:cnfStyle w:val="100000000000"/>
            <w:tcW w:w="7132" w:type="dxa"/>
          </w:tcPr>
          <w:p w14:paraId="0000003F">
            <w:pPr>
              <w:rPr>
                <w:rFonts w:ascii="Times New Roman" w:cs="Times New Roman" w:hAnsi="Times New Roman"/>
                <w:sz w:val="20"/>
              </w:rPr>
            </w:pPr>
          </w:p>
        </w:tc>
      </w:tr>
      <w:tr>
        <w:trPr/>
        <w:tc>
          <w:tcPr>
            <w:cnfStyle w:val="001000100000"/>
            <w:tcW w:w="2122" w:type="dxa"/>
          </w:tcPr>
          <w:p w14:paraId="00000040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İnstitusional e-poçt:</w:t>
            </w:r>
          </w:p>
        </w:tc>
        <w:tc>
          <w:tcPr>
            <w:cnfStyle w:val="000000100000"/>
            <w:tcW w:w="7132" w:type="dxa"/>
          </w:tcPr>
          <w:p w14:paraId="00000041">
            <w:pPr>
              <w:rPr>
                <w:rFonts w:ascii="Times New Roman" w:cs="Times New Roman" w:hAnsi="Times New Roman"/>
                <w:sz w:val="20"/>
                <w:lang w:val="en-US"/>
              </w:rPr>
            </w:pPr>
            <w:r>
              <w:rPr>
                <w:rFonts w:ascii="Times New Roman" w:cs="Times New Roman" w:hAnsi="Times New Roman"/>
                <w:sz w:val="20"/>
              </w:rPr>
              <w:t>ebdulhesenovarahibe</w:t>
            </w:r>
            <w:r>
              <w:rPr>
                <w:rFonts w:ascii="Times New Roman" w:cs="Times New Roman" w:hAnsi="Times New Roman"/>
                <w:sz w:val="20"/>
                <w:lang w:val="en-US"/>
              </w:rPr>
              <w:t>@ndu.edu.az</w:t>
            </w:r>
          </w:p>
        </w:tc>
      </w:tr>
      <w:tr>
        <w:trPr/>
        <w:tc>
          <w:tcPr>
            <w:cnfStyle w:val="001000010000"/>
            <w:tcW w:w="2122" w:type="dxa"/>
          </w:tcPr>
          <w:p w14:paraId="00000042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Digər e-poçt:</w:t>
            </w:r>
          </w:p>
        </w:tc>
        <w:tc>
          <w:tcPr>
            <w:cnfStyle w:val="000000010000"/>
            <w:tcW w:w="7132" w:type="dxa"/>
          </w:tcPr>
          <w:p w14:paraId="00000043">
            <w:pPr>
              <w:rPr>
                <w:rFonts w:ascii="Times New Roman" w:cs="Times New Roman" w:hAnsi="Times New Roman"/>
                <w:sz w:val="20"/>
                <w:lang w:val="en-US"/>
              </w:rPr>
            </w:pPr>
            <w:r>
              <w:rPr>
                <w:rFonts w:ascii="Times New Roman" w:cs="Times New Roman" w:hAnsi="Times New Roman"/>
                <w:sz w:val="20"/>
              </w:rPr>
              <w:t>Abdulhasanovarahiba</w:t>
            </w:r>
            <w:r>
              <w:rPr>
                <w:rFonts w:ascii="Times New Roman" w:cs="Times New Roman" w:hAnsi="Times New Roman"/>
                <w:sz w:val="20"/>
                <w:lang w:val="en-US"/>
              </w:rPr>
              <w:t>@gmail.com</w:t>
            </w:r>
          </w:p>
        </w:tc>
      </w:tr>
      <w:tr>
        <w:trPr/>
        <w:tc>
          <w:tcPr>
            <w:cnfStyle w:val="001000100000"/>
            <w:tcW w:w="2122" w:type="dxa"/>
          </w:tcPr>
          <w:p w14:paraId="00000044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Mobil:</w:t>
            </w:r>
          </w:p>
        </w:tc>
        <w:tc>
          <w:tcPr>
            <w:cnfStyle w:val="000000100000"/>
            <w:tcW w:w="7132" w:type="dxa"/>
          </w:tcPr>
          <w:p w14:paraId="00000045">
            <w:pPr>
              <w:rPr>
                <w:rFonts w:ascii="Times New Roman" w:cs="Times New Roman" w:hAnsi="Times New Roman"/>
                <w:sz w:val="20"/>
              </w:rPr>
            </w:pPr>
            <w:r>
              <w:rPr>
                <w:rFonts w:ascii="Times New Roman" w:cs="Times New Roman" w:hAnsi="Times New Roman"/>
                <w:sz w:val="20"/>
              </w:rPr>
              <w:t xml:space="preserve">+994 50 </w:t>
            </w:r>
            <w:r>
              <w:rPr>
                <w:rFonts w:ascii="Times New Roman" w:cs="Times New Roman" w:hAnsi="Times New Roman"/>
                <w:sz w:val="20"/>
              </w:rPr>
              <w:t>7325517</w:t>
            </w:r>
          </w:p>
        </w:tc>
      </w:tr>
      <w:tr>
        <w:trPr/>
        <w:tc>
          <w:tcPr>
            <w:cnfStyle w:val="001000010000"/>
            <w:tcW w:w="2122" w:type="dxa"/>
          </w:tcPr>
          <w:p w14:paraId="00000046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Yaşayış ünvanı:</w:t>
            </w:r>
          </w:p>
        </w:tc>
        <w:tc>
          <w:tcPr>
            <w:cnfStyle w:val="000000010000"/>
            <w:tcW w:w="7132" w:type="dxa"/>
          </w:tcPr>
          <w:p w14:paraId="00000047">
            <w:pPr>
              <w:rPr>
                <w:rFonts w:ascii="Times New Roman" w:cs="Times New Roman" w:hAnsi="Times New Roman"/>
                <w:sz w:val="20"/>
              </w:rPr>
            </w:pPr>
            <w:r>
              <w:rPr>
                <w:rFonts w:ascii="Times New Roman" w:cs="Times New Roman" w:hAnsi="Times New Roman"/>
                <w:sz w:val="20"/>
              </w:rPr>
              <w:t xml:space="preserve">Azərbaycan Respublikası, Naxçıvan Muxtar Respublikası, Naxçıvan şəhəri, </w:t>
            </w:r>
            <w:r>
              <w:rPr>
                <w:rFonts w:ascii="Times New Roman" w:cs="Times New Roman" w:hAnsi="Times New Roman"/>
                <w:sz w:val="20"/>
              </w:rPr>
              <w:t>Sabir küçəsi</w:t>
            </w:r>
          </w:p>
        </w:tc>
      </w:tr>
    </w:tbl>
    <w:p w14:paraId="00000048">
      <w:pPr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_________________________________________________________________________________</w:t>
      </w:r>
    </w:p>
    <w:p w14:paraId="00000049">
      <w:pPr>
        <w:pStyle w:val="ListParagraph"/>
        <w:numPr>
          <w:ilvl w:val="0"/>
          <w:numId w:val="1"/>
        </w:numPr>
        <w:rPr>
          <w:rFonts w:ascii="Times New Roman" w:cs="Times New Roman" w:hAnsi="Times New Roman"/>
          <w:b/>
          <w:color w:val="0070c0"/>
        </w:rPr>
      </w:pPr>
      <w:r>
        <w:rPr>
          <w:rFonts w:ascii="Times New Roman" w:cs="Times New Roman" w:hAnsi="Times New Roman"/>
          <w:b/>
          <w:color w:val="0070c0"/>
        </w:rPr>
        <w:t>TƏDQİQAT SAHƏLƏRİ</w:t>
      </w:r>
    </w:p>
    <w:p w14:paraId="0000004A">
      <w:pPr>
        <w:pStyle w:val="ListParagraph"/>
        <w:pBdr>
          <w:bottom w:val="single" w:color="auto" w:sz="12" w:space="1"/>
        </w:pBdr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Dünya iqtisadiyyatı, Beynəlxalq iqtisadi münasibətlər, İdarəetmə</w:t>
      </w:r>
    </w:p>
    <w:p w14:paraId="0000004B">
      <w:pPr>
        <w:rPr>
          <w:rFonts w:ascii="Times New Roman" w:cs="Times New Roman" w:hAnsi="Times New Roman"/>
        </w:rPr>
      </w:pPr>
    </w:p>
    <w:p w14:paraId="0000004C">
      <w:pPr>
        <w:pStyle w:val="ListParagraph"/>
        <w:numPr>
          <w:ilvl w:val="0"/>
          <w:numId w:val="1"/>
        </w:numPr>
        <w:spacing w:before="120" w:after="240"/>
        <w:rPr>
          <w:rFonts w:ascii="Times New Roman" w:cs="Times New Roman" w:hAnsi="Times New Roman"/>
          <w:b/>
          <w:color w:val="0070c0"/>
        </w:rPr>
      </w:pPr>
      <w:r>
        <w:rPr>
          <w:rFonts w:ascii="Times New Roman" w:cs="Times New Roman" w:hAnsi="Times New Roman"/>
          <w:b/>
          <w:color w:val="0070c0"/>
        </w:rPr>
        <w:t>AKADEMİK İŞ TƏCRÜBƏSİ</w:t>
      </w:r>
    </w:p>
    <w:p w14:paraId="0000004D">
      <w:pPr>
        <w:pStyle w:val="ListParagraph"/>
        <w:rPr>
          <w:rFonts w:ascii="Times New Roman" w:cs="Times New Roman" w:hAnsi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8296"/>
      </w:tblGrid>
      <w:tr>
        <w:trPr/>
        <w:tc>
          <w:tcPr>
            <w:cnfStyle w:val="101000000000"/>
            <w:tcW w:w="8296" w:type="dxa"/>
          </w:tcPr>
          <w:p w14:paraId="0000004E">
            <w:pPr>
              <w:pStyle w:val="ListParagraph"/>
              <w:spacing w:after="60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  <w:b/>
                <w:color w:val="c00000"/>
              </w:rPr>
              <w:t>İnzibati vəzifələr:</w:t>
            </w:r>
          </w:p>
        </w:tc>
      </w:tr>
      <w:tr>
        <w:trPr/>
        <w:tc>
          <w:tcPr>
            <w:cnfStyle w:val="001000100000"/>
            <w:tcW w:w="8296" w:type="dxa"/>
          </w:tcPr>
          <w:p w14:paraId="0000004F">
            <w:pPr>
              <w:pStyle w:val="ListParagraph"/>
              <w:ind w:left="0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</w:rPr>
              <w:t>202</w:t>
            </w:r>
            <w:r>
              <w:rPr>
                <w:rFonts w:ascii="Times New Roman" w:cs="Times New Roman" w:hAnsi="Times New Roman"/>
                <w:b/>
              </w:rPr>
              <w:t>3 – davam edir</w:t>
            </w:r>
            <w:r>
              <w:rPr>
                <w:rFonts w:ascii="Times New Roman" w:cs="Times New Roman" w:hAnsi="Times New Roman"/>
                <w:b/>
              </w:rPr>
              <w:t xml:space="preserve"> Müəllim</w:t>
            </w:r>
          </w:p>
          <w:p w14:paraId="00000050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 xml:space="preserve">Naxçıvan Dövlət Universiteti </w:t>
            </w:r>
            <w:r>
              <w:rPr>
                <w:rFonts w:ascii="Times New Roman" w:cs="Times New Roman" w:hAnsi="Times New Roman"/>
              </w:rPr>
              <w:t>Beynəlxalq ticarət və menecment</w:t>
            </w:r>
            <w:r>
              <w:rPr>
                <w:rFonts w:ascii="Times New Roman" w:cs="Times New Roman" w:hAnsi="Times New Roman"/>
              </w:rPr>
              <w:t xml:space="preserve"> kafedrası</w:t>
            </w:r>
          </w:p>
        </w:tc>
      </w:tr>
    </w:tbl>
    <w:p w14:paraId="00000051">
      <w:pPr>
        <w:pStyle w:val="ListParagraph"/>
        <w:rPr>
          <w:rFonts w:ascii="Times New Roman" w:cs="Times New Roman" w:hAnsi="Times New Roman"/>
        </w:rPr>
      </w:pPr>
    </w:p>
    <w:p w14:paraId="00000052">
      <w:pPr>
        <w:pStyle w:val="ListParagraph"/>
        <w:rPr>
          <w:rFonts w:ascii="Times New Roman" w:cs="Times New Roman" w:hAnsi="Times New Roman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158"/>
        <w:gridCol w:w="2347"/>
      </w:tblGrid>
      <w:tr>
        <w:trPr/>
        <w:tc>
          <w:tcPr>
            <w:cnfStyle w:val="101000000000"/>
            <w:tcW w:w="4158" w:type="dxa"/>
          </w:tcPr>
          <w:p w14:paraId="00000053">
            <w:pPr>
              <w:pStyle w:val="ListParagraph"/>
              <w:spacing w:after="120"/>
              <w:ind w:left="0"/>
              <w:rPr>
                <w:rFonts w:ascii="Times New Roman" w:cs="Times New Roman" w:hAnsi="Times New Roman"/>
                <w:b/>
              </w:rPr>
            </w:pPr>
            <w:r>
              <w:rPr>
                <w:rFonts w:ascii="Times New Roman" w:cs="Times New Roman" w:hAnsi="Times New Roman"/>
                <w:b/>
                <w:color w:val="c00000"/>
              </w:rPr>
              <w:t>Tədris etdiyi dərslər</w:t>
            </w:r>
          </w:p>
        </w:tc>
        <w:tc>
          <w:tcPr>
            <w:cnfStyle w:val="100000000000"/>
            <w:tcW w:w="2347" w:type="dxa"/>
          </w:tcPr>
          <w:p w14:paraId="00000054">
            <w:pPr>
              <w:pStyle w:val="ListParagraph"/>
              <w:spacing w:after="60"/>
              <w:ind w:left="0"/>
              <w:rPr>
                <w:rFonts w:ascii="Times New Roman" w:cs="Times New Roman" w:hAnsi="Times New Roman"/>
                <w:b/>
                <w:color w:val="c00000"/>
              </w:rPr>
            </w:pPr>
          </w:p>
        </w:tc>
      </w:tr>
      <w:tr>
        <w:trPr/>
        <w:tc>
          <w:tcPr>
            <w:cnfStyle w:val="001000100000"/>
            <w:tcW w:w="4158" w:type="dxa"/>
          </w:tcPr>
          <w:p w14:paraId="00000055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Əməliyyatların idarəedilməsi</w:t>
            </w:r>
          </w:p>
        </w:tc>
        <w:tc>
          <w:tcPr>
            <w:cnfStyle w:val="000000100000"/>
            <w:tcW w:w="2347" w:type="dxa"/>
          </w:tcPr>
          <w:p w14:paraId="00000056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Baza fənn</w:t>
            </w:r>
          </w:p>
        </w:tc>
      </w:tr>
      <w:tr>
        <w:trPr>
          <w:trHeight w:val="107"/>
        </w:trPr>
        <w:tc>
          <w:tcPr>
            <w:cnfStyle w:val="001000010000"/>
            <w:tcW w:w="4158" w:type="dxa"/>
          </w:tcPr>
          <w:p w14:paraId="00000057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Logistikanın əsasları</w:t>
            </w:r>
          </w:p>
        </w:tc>
        <w:tc>
          <w:tcPr>
            <w:cnfStyle w:val="000000010000"/>
            <w:tcW w:w="2347" w:type="dxa"/>
          </w:tcPr>
          <w:p w14:paraId="00000058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Baza fənn</w:t>
            </w:r>
          </w:p>
        </w:tc>
      </w:tr>
      <w:tr>
        <w:trPr>
          <w:trHeight w:val="107"/>
        </w:trPr>
        <w:tc>
          <w:tcPr>
            <w:cnfStyle w:val="001000100000"/>
            <w:tcW w:w="4158" w:type="dxa"/>
          </w:tcPr>
          <w:p w14:paraId="00000059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Biznes hüququ</w:t>
            </w:r>
          </w:p>
        </w:tc>
        <w:tc>
          <w:tcPr>
            <w:cnfStyle w:val="000000100000"/>
            <w:tcW w:w="2347" w:type="dxa"/>
          </w:tcPr>
          <w:p w14:paraId="0000005A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Baza fənn</w:t>
            </w:r>
          </w:p>
        </w:tc>
      </w:tr>
      <w:tr>
        <w:trPr>
          <w:trHeight w:val="107"/>
        </w:trPr>
        <w:tc>
          <w:tcPr>
            <w:cnfStyle w:val="001000010000"/>
            <w:tcW w:w="4158" w:type="dxa"/>
          </w:tcPr>
          <w:p w14:paraId="0000005B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Beynəlxalq ticarət hüququ</w:t>
            </w:r>
          </w:p>
        </w:tc>
        <w:tc>
          <w:tcPr>
            <w:cnfStyle w:val="000000010000"/>
            <w:tcW w:w="2347" w:type="dxa"/>
          </w:tcPr>
          <w:p w14:paraId="0000005C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Baza fənn</w:t>
            </w:r>
          </w:p>
        </w:tc>
      </w:tr>
      <w:tr>
        <w:trPr>
          <w:trHeight w:val="107"/>
        </w:trPr>
        <w:tc>
          <w:tcPr>
            <w:cnfStyle w:val="001000100000"/>
            <w:tcW w:w="4158" w:type="dxa"/>
          </w:tcPr>
          <w:p w14:paraId="0000005D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İnzibati menecment</w:t>
            </w:r>
          </w:p>
        </w:tc>
        <w:tc>
          <w:tcPr>
            <w:cnfStyle w:val="000000100000"/>
            <w:tcW w:w="2347" w:type="dxa"/>
          </w:tcPr>
          <w:p w14:paraId="0000005E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Seçmə fənn</w:t>
            </w:r>
          </w:p>
        </w:tc>
      </w:tr>
      <w:tr>
        <w:trPr>
          <w:trHeight w:val="107"/>
        </w:trPr>
        <w:tc>
          <w:tcPr>
            <w:cnfStyle w:val="001000010000"/>
            <w:tcW w:w="4158" w:type="dxa"/>
          </w:tcPr>
          <w:p w14:paraId="0000005F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Beynəlxalq menecment</w:t>
            </w:r>
          </w:p>
        </w:tc>
        <w:tc>
          <w:tcPr>
            <w:cnfStyle w:val="000000010000"/>
            <w:tcW w:w="2347" w:type="dxa"/>
          </w:tcPr>
          <w:p w14:paraId="00000060">
            <w:pPr>
              <w:pStyle w:val="ListParagraph"/>
              <w:ind w:left="0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Seçmə fənn</w:t>
            </w:r>
          </w:p>
        </w:tc>
      </w:tr>
    </w:tbl>
    <w:p w14:paraId="00000061">
      <w:pPr>
        <w:pStyle w:val="ListParagraph"/>
        <w:rPr>
          <w:rFonts w:ascii="Times New Roman" w:cs="Times New Roman" w:hAnsi="Times New Roman"/>
        </w:rPr>
      </w:pPr>
    </w:p>
    <w:p w14:paraId="00000062">
      <w:pPr>
        <w:pStyle w:val="ListParagraph"/>
        <w:numPr>
          <w:ilvl w:val="0"/>
          <w:numId w:val="1"/>
        </w:numPr>
        <w:spacing w:before="120" w:after="480"/>
        <w:rPr>
          <w:rFonts w:ascii="Times New Roman" w:cs="Times New Roman" w:hAnsi="Times New Roman"/>
          <w:b/>
          <w:color w:val="0070c0"/>
        </w:rPr>
      </w:pPr>
      <w:r>
        <w:rPr>
          <w:rFonts w:ascii="Times New Roman" w:cs="Times New Roman" w:hAnsi="Times New Roman"/>
          <w:b/>
          <w:color w:val="0070c0"/>
        </w:rPr>
        <w:t>NƏŞRLƏR VƏ ƏSƏRLƏR</w:t>
      </w:r>
    </w:p>
    <w:p w14:paraId="00000063">
      <w:pPr>
        <w:pStyle w:val="ListParagraph"/>
        <w:spacing w:before="120" w:after="480"/>
        <w:rPr>
          <w:rFonts w:ascii="Times New Roman" w:cs="Times New Roman" w:hAnsi="Times New Roman"/>
          <w:b/>
          <w:color w:val="0070c0"/>
        </w:rPr>
      </w:pPr>
    </w:p>
    <w:tbl>
      <w:tblPr>
        <w:tblStyle w:val="TableGrid"/>
        <w:tblW w:w="8773" w:type="dxa"/>
        <w:tblInd w:w="720" w:type="dxa"/>
        <w:tblLook w:val="04A0"/>
      </w:tblPr>
      <w:tblGrid>
        <w:gridCol w:w="409"/>
        <w:gridCol w:w="8364"/>
      </w:tblGrid>
      <w:tr>
        <w:trPr>
          <w:cnfStyle w:val="100000000000"/>
        </w:trPr>
        <w:tc>
          <w:tcPr>
            <w:cnfStyle w:val="101000000000"/>
            <w:tcW w:w="8773" w:type="dxa"/>
            <w:gridSpan w:val="2"/>
          </w:tcPr>
          <w:p w14:paraId="00000064">
            <w:pPr>
              <w:pStyle w:val="ListParagraph"/>
              <w:ind w:left="19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c00000"/>
                <w:sz w:val="20"/>
                <w:szCs w:val="20"/>
              </w:rPr>
              <w:t>Digər indeksli jurnallardakı nəşrlər: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65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66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Rahiba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"Shifting Landscape in the World Economy: Technology, Trade, and Accelerated Development" </w:t>
            </w: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>Международный</w:t>
            </w:r>
            <w:r>
              <w:rPr>
                <w:rFonts w:ascii="Times New Roman" w:cs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>научный</w:t>
            </w:r>
            <w:r>
              <w:rPr>
                <w:rFonts w:ascii="Times New Roman" w:cs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>журнал</w:t>
            </w:r>
            <w:r>
              <w:rPr>
                <w:rFonts w:ascii="Times New Roman" w:cs="Times New Roman" w:hAnsi="Times New Roman"/>
                <w:sz w:val="20"/>
                <w:szCs w:val="20"/>
                <w:lang w:val="en-US"/>
              </w:rPr>
              <w:t xml:space="preserve"> «</w:t>
            </w: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>Путь</w:t>
            </w:r>
            <w:r>
              <w:rPr>
                <w:rFonts w:ascii="Times New Roman" w:cs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cs="Times New Roman" w:hAnsi="Times New Roman"/>
                <w:sz w:val="20"/>
                <w:szCs w:val="20"/>
                <w:lang w:val="ru-RU"/>
              </w:rPr>
              <w:t>науки</w:t>
            </w:r>
            <w:r>
              <w:rPr>
                <w:rFonts w:ascii="Times New Roman" w:cs="Times New Roman" w:hAnsi="Times New Roman"/>
                <w:sz w:val="20"/>
                <w:szCs w:val="20"/>
                <w:lang w:val="en-US"/>
              </w:rPr>
              <w:t xml:space="preserve">»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2024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N2 (121) səh 37-39</w:t>
            </w:r>
          </w:p>
        </w:tc>
      </w:tr>
      <w:tr>
        <w:trPr>
          <w:cnfStyle w:val="000000010000"/>
        </w:trPr>
        <w:tc>
          <w:tcPr>
            <w:cnfStyle w:val="001000010000"/>
            <w:tcW w:w="409" w:type="dxa"/>
          </w:tcPr>
          <w:p w14:paraId="00000067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68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Global Economy: Current Trends and Future Prospects”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Norwegian Journal of development of the International Science 2024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69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6A">
            <w:pPr>
              <w:rPr>
                <w:rFonts w:ascii="Times New Roman" w:cs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Əliyeva Nəsrin “</w:t>
            </w:r>
            <w:r>
              <w:rPr>
                <w:rFonts w:ascii="Times New Roman" w:cs="Times New Roman" w:hAnsi="Times New Roman"/>
                <w:bCs/>
                <w:sz w:val="20"/>
                <w:szCs w:val="20"/>
              </w:rPr>
              <w:t xml:space="preserve">INFLUENCE OF TECHNOLOGICAL INNOVATION ON GLOBAL ECONOMIC COMPETITIVENESS”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Science of Europe N139 (2024)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 xml:space="preserve"> səh 13-15</w:t>
            </w:r>
          </w:p>
        </w:tc>
      </w:tr>
      <w:tr>
        <w:trPr>
          <w:cnfStyle w:val="000000010000"/>
        </w:trPr>
        <w:tc>
          <w:tcPr>
            <w:cnfStyle w:val="001000010000"/>
            <w:tcW w:w="409" w:type="dxa"/>
          </w:tcPr>
          <w:p w14:paraId="0000006B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6C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 "Enhancing Migration Management in Azerbaijan: Strategies and Perspectives".  Journal of Global Economy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6D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6E">
            <w:pPr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Beynəlxalq miqrasiya hərəkatının ölkələrdəki iqtisadi inkişafa təsirləri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”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“Elmi tədqiqat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” jurnalı.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Cild 4, say 10. 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Bakı 2024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səh 45-48</w:t>
            </w:r>
            <w:bookmarkStart w:id="0" w:name="_GoBack"/>
            <w:bookmarkEnd w:id="0"/>
          </w:p>
        </w:tc>
      </w:tr>
      <w:tr>
        <w:trPr>
          <w:cnfStyle w:val="000000010000"/>
        </w:trPr>
        <w:tc>
          <w:tcPr>
            <w:cnfStyle w:val="001000010000"/>
            <w:tcW w:w="8773" w:type="dxa"/>
            <w:gridSpan w:val="2"/>
          </w:tcPr>
          <w:p w14:paraId="0000006F">
            <w:pPr>
              <w:pStyle w:val="ListParagraph"/>
              <w:ind w:left="19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c00000"/>
                <w:sz w:val="20"/>
                <w:szCs w:val="20"/>
              </w:rPr>
              <w:t>Respublika jurnallarındakı nəşrlər: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70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71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Rahiba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Menecmentdə strategiyanin reallaşdirilmasinin planlaşdirilmasi və onun qiymətləndirilməsi”  Geostrategiya jurnalı N6 (78) Bakı 2023</w:t>
            </w:r>
          </w:p>
        </w:tc>
      </w:tr>
      <w:tr>
        <w:trPr>
          <w:cnfStyle w:val="000000010000"/>
        </w:trPr>
        <w:tc>
          <w:tcPr>
            <w:cnfStyle w:val="001000010000"/>
            <w:tcW w:w="8773" w:type="dxa"/>
            <w:gridSpan w:val="2"/>
          </w:tcPr>
          <w:p w14:paraId="00000072">
            <w:pPr>
              <w:pStyle w:val="ListParagraph"/>
              <w:ind w:left="19"/>
              <w:rPr>
                <w:rFonts w:ascii="Times New Roman" w:cs="Times New Roman" w:hAnsi="Times New Roman"/>
                <w:b/>
                <w:color w:val="c00000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c00000"/>
                <w:sz w:val="20"/>
                <w:szCs w:val="20"/>
              </w:rPr>
              <w:t>Konfrans və simpoziumlarda məqalə və tezis şəklində nəşrlər:</w:t>
            </w:r>
          </w:p>
        </w:tc>
      </w:tr>
      <w:tr>
        <w:trPr>
          <w:cnfStyle w:val="000000100000"/>
          <w:trHeight w:val="615"/>
        </w:trPr>
        <w:tc>
          <w:tcPr>
            <w:cnfStyle w:val="001000100000"/>
            <w:tcW w:w="409" w:type="dxa"/>
          </w:tcPr>
          <w:p w14:paraId="00000073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74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The Multifaces İmpacts Of Micrartion On Nations: Navigating Societal, Economic And Political Dynamics” Proceedings of the I International Scientific and Practical Conference 20-21 February 2024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 Səh 28-30</w:t>
            </w:r>
          </w:p>
        </w:tc>
      </w:tr>
      <w:tr>
        <w:trPr>
          <w:cnfStyle w:val="000000010000"/>
          <w:trHeight w:val="615"/>
        </w:trPr>
        <w:tc>
          <w:tcPr>
            <w:cnfStyle w:val="001000010000"/>
            <w:tcW w:w="409" w:type="dxa"/>
          </w:tcPr>
          <w:p w14:paraId="00000075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76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Leadership Styles and Their Impact on Organizational Performance” Internatıonal Turkıc World Congress On Socıal, Humanıtıes, Admınıstratıve And Educatıonal Scıences. Səh 606-620</w:t>
            </w:r>
          </w:p>
        </w:tc>
      </w:tr>
      <w:tr>
        <w:trPr>
          <w:cnfStyle w:val="000000100000"/>
          <w:trHeight w:val="615"/>
        </w:trPr>
        <w:tc>
          <w:tcPr>
            <w:cnfStyle w:val="001000100000"/>
            <w:tcW w:w="409" w:type="dxa"/>
          </w:tcPr>
          <w:p w14:paraId="00000077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78">
            <w:pPr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Innovation Management and Competitive Advantage” Internatıonal Turkıc World Congress On Socıal, Humanıtıes, Admınıstratıve And Educatıonal Scıences. Səh 451-465</w:t>
            </w:r>
          </w:p>
        </w:tc>
      </w:tr>
      <w:tr>
        <w:trPr>
          <w:cnfStyle w:val="000000010000"/>
        </w:trPr>
        <w:tc>
          <w:tcPr>
            <w:cnfStyle w:val="001000010000"/>
            <w:tcW w:w="409" w:type="dxa"/>
          </w:tcPr>
          <w:p w14:paraId="00000079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7A">
            <w:pPr>
              <w:pStyle w:val="Heading3"/>
              <w:shd w:val="clear" w:color="auto" w:fill="ffffff"/>
              <w:spacing w:before="0"/>
              <w:rPr>
                <w:rFonts w:ascii="Times New Roman" w:cs="Times New Roman" w:hAnsi="Times New Roman"/>
                <w:color w:val="auto"/>
                <w:spacing w:val="-15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auto"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color w:val="auto"/>
                <w:sz w:val="20"/>
                <w:szCs w:val="20"/>
              </w:rPr>
              <w:t xml:space="preserve">Qlobal Ticarət Dinamikasi: Inkişaf Etməkdə Olan Bazarlar Dünya Iqtisadiyyatini Necə Yenidən Formalaşdırır” </w:t>
            </w:r>
            <w:r>
              <w:rPr>
                <w:rFonts w:ascii="Times New Roman" w:cs="Times New Roman" w:hAnsi="Times New Roman"/>
                <w:bCs/>
                <w:color w:val="auto"/>
                <w:spacing w:val="-15"/>
                <w:sz w:val="20"/>
                <w:szCs w:val="20"/>
              </w:rPr>
              <w:t>V. ULUSLARARASI GENÇLİK ARAŞTIRMALARI KONGRESİ 2024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7B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7C">
            <w:pPr>
              <w:rPr>
                <w:rFonts w:ascii="Times New Roman" w:cs="Times New Roman" w:hAnsi="Times New Roman"/>
                <w:b/>
                <w:spacing w:val="-4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>Əbdülhəsənova Rahibə. “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Sənaye müəssisələrinin qlobal bazarda rəqabət üstünlüyü qazanması üçün tələb olunan əsas infrastruktur təchizatları” Naxçıvan 2024</w:t>
            </w:r>
          </w:p>
        </w:tc>
      </w:tr>
      <w:tr>
        <w:trPr>
          <w:cnfStyle w:val="000000010000"/>
        </w:trPr>
        <w:tc>
          <w:tcPr>
            <w:cnfStyle w:val="001000010000"/>
            <w:tcW w:w="8773" w:type="dxa"/>
            <w:gridSpan w:val="2"/>
          </w:tcPr>
          <w:p w14:paraId="0000007D">
            <w:pPr>
              <w:pStyle w:val="ListParagraph"/>
              <w:ind w:left="19"/>
              <w:rPr>
                <w:rFonts w:ascii="Times New Roman" w:cs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color w:val="c00000"/>
                <w:sz w:val="20"/>
                <w:szCs w:val="20"/>
              </w:rPr>
              <w:t>Dərs və metodik vəsaitlər, proqramlar: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7E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7F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Beynəlxalq menecment.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 29 səhifə</w:t>
            </w:r>
          </w:p>
        </w:tc>
      </w:tr>
      <w:tr>
        <w:trPr>
          <w:cnfStyle w:val="000000010000"/>
        </w:trPr>
        <w:tc>
          <w:tcPr>
            <w:cnfStyle w:val="001000010000"/>
            <w:tcW w:w="409" w:type="dxa"/>
          </w:tcPr>
          <w:p w14:paraId="00000080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81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İnzibati menecment.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 29 səhifə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82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83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Əməliyyatların idarə edilməsi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 26 səhifə</w:t>
            </w:r>
          </w:p>
        </w:tc>
      </w:tr>
      <w:tr>
        <w:trPr>
          <w:cnfStyle w:val="000000010000"/>
        </w:trPr>
        <w:tc>
          <w:tcPr>
            <w:cnfStyle w:val="001000010000"/>
            <w:tcW w:w="409" w:type="dxa"/>
          </w:tcPr>
          <w:p w14:paraId="00000084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85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Nəsrin Əliyeva.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Biznes hüququ.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 13 səhifə</w:t>
            </w:r>
          </w:p>
        </w:tc>
      </w:tr>
      <w:tr>
        <w:trPr>
          <w:cnfStyle w:val="000000100000"/>
        </w:trPr>
        <w:tc>
          <w:tcPr>
            <w:cnfStyle w:val="001000100000"/>
            <w:tcW w:w="409" w:type="dxa"/>
          </w:tcPr>
          <w:p w14:paraId="00000086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100000"/>
            <w:tcW w:w="8364" w:type="dxa"/>
          </w:tcPr>
          <w:p w14:paraId="00000087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Beynəlxalq ticarət hüququ.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 29 səhifə</w:t>
            </w:r>
          </w:p>
        </w:tc>
      </w:tr>
      <w:tr>
        <w:trPr>
          <w:cnfStyle w:val="000000010000"/>
          <w:trHeight w:val="450" w:hRule="atLeast"/>
        </w:trPr>
        <w:tc>
          <w:tcPr>
            <w:cnfStyle w:val="001000010000"/>
            <w:tcW w:w="409" w:type="dxa"/>
          </w:tcPr>
          <w:p w14:paraId="00000088">
            <w:pPr>
              <w:pStyle w:val="ListParagraph"/>
              <w:numPr>
                <w:ilvl w:val="0"/>
                <w:numId w:val="7"/>
              </w:numPr>
              <w:ind w:left="19" w:hanging="1"/>
              <w:jc w:val="center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  <w:tc>
          <w:tcPr>
            <w:cnfStyle w:val="000000010000"/>
            <w:tcW w:w="8364" w:type="dxa"/>
          </w:tcPr>
          <w:p w14:paraId="00000089">
            <w:pPr>
              <w:pStyle w:val="ListParagraph"/>
              <w:ind w:left="0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pacing w:val="-6"/>
                <w:sz w:val="20"/>
                <w:szCs w:val="20"/>
              </w:rPr>
              <w:t xml:space="preserve">Rahibə Əbdülhəsənova. Nəsrin Əliyeva. </w:t>
            </w:r>
            <w:r>
              <w:rPr>
                <w:rFonts w:ascii="Times New Roman" w:cs="Times New Roman" w:hAnsi="Times New Roman"/>
                <w:bCs/>
                <w:spacing w:val="-6"/>
                <w:sz w:val="20"/>
                <w:szCs w:val="20"/>
              </w:rPr>
              <w:t xml:space="preserve">Mühəndis iqtisadiyyatı. </w:t>
            </w:r>
            <w:r>
              <w:rPr>
                <w:rFonts w:ascii="Times New Roman" w:cs="Times New Roman" w:hAnsi="Times New Roman"/>
                <w:sz w:val="20"/>
                <w:szCs w:val="20"/>
                <w:shd w:val="clear" w:color="auto" w:fill="ffffff"/>
              </w:rPr>
              <w:t>“NUH” nəşriyyat. Naxçıvan 2024. 26 səhifə</w:t>
            </w:r>
          </w:p>
        </w:tc>
      </w:tr>
      <w:tr>
        <w:trPr>
          <w:cnfStyle w:val="000000100000"/>
          <w:trHeight w:val="450" w:hRule="atLeast"/>
        </w:trPr>
        <w:tc>
          <w:tcPr>
            <w:cnfStyle w:val="001000100000"/>
            <w:tcW w:w="8773" w:type="dxa"/>
            <w:gridSpan w:val="2"/>
          </w:tcPr>
          <w:p w14:paraId="0000008A">
            <w:pPr>
              <w:pStyle w:val="ListParagraph"/>
              <w:ind w:left="0"/>
              <w:rPr>
                <w:rFonts w:ascii="Times New Roman" w:cs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color w:val="ff0000"/>
                <w:sz w:val="20"/>
                <w:szCs w:val="20"/>
              </w:rPr>
              <w:t>Monoqrafiya</w:t>
            </w:r>
          </w:p>
        </w:tc>
      </w:tr>
      <w:tr>
        <w:trPr>
          <w:cnfStyle w:val="000000010000"/>
          <w:trHeight w:val="450" w:hRule="atLeast"/>
        </w:trPr>
        <w:tc>
          <w:tcPr>
            <w:cnfStyle w:val="001000010000"/>
            <w:tcW w:w="409" w:type="dxa"/>
          </w:tcPr>
          <w:p w14:paraId="0000008B">
            <w:pPr>
              <w:pStyle w:val="ListParagraph"/>
              <w:ind w:left="19" w:right="0" w:firstLine="0"/>
              <w:jc w:val="center"/>
              <w:rPr>
                <w:rFonts w:ascii="Times New Roman" w:cs="Times New Roman" w:hAnsi="Times New Roman"/>
                <w:sz w:val="20"/>
                <w:szCs w:val="20"/>
                <w:lang w:val="az-Cyrl-AZ"/>
              </w:rPr>
            </w:pPr>
            <w:r>
              <w:rPr>
                <w:rFonts w:ascii="Times New Roman" w:cs="Times New Roman" w:hAnsi="Times New Roman"/>
                <w:sz w:val="20"/>
                <w:szCs w:val="20"/>
                <w:lang w:val="az-Cyrl-AZ"/>
              </w:rPr>
              <w:t>1.</w:t>
            </w:r>
          </w:p>
        </w:tc>
        <w:tc>
          <w:tcPr>
            <w:cnfStyle w:val="000000010000"/>
            <w:tcW w:w="8364" w:type="dxa"/>
          </w:tcPr>
          <w:p w14:paraId="0000008C">
            <w:pPr>
              <w:framePr w:w="0" w:h="0" w:vAnchor="margin" w:hAnchor="text" w:x="0" w:y="0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shd w:val="clear" w:fill="auto"/>
              <w:bidi w:val="off"/>
              <w:spacing w:before="0" w:after="0" w:line="240" w:lineRule="auto"/>
              <w:ind w:left="0" w:right="0" w:firstLine="0"/>
              <w:jc w:val="left"/>
              <w:rPr>
                <w:rFonts w:ascii="Times New Roman" w:cs="Times New Roman" w:hAnsi="Times New Roman"/>
                <w:color w:val="000000"/>
                <w:sz w:val="20"/>
                <w:szCs w:val="20"/>
                <w:lang w:val="az-Cyrl-AZ"/>
              </w:rPr>
            </w:pPr>
            <w:r>
              <w:rPr>
                <w:rFonts w:ascii="Times New Roman" w:cs="Times New Roman" w:hAnsi="Times New Roman"/>
                <w:b/>
                <w:bCs/>
                <w:color w:val="000000"/>
                <w:sz w:val="20"/>
                <w:szCs w:val="20"/>
                <w:rtl w:val="off"/>
                <w:lang w:val="az-Cyrl-AZ"/>
              </w:rPr>
              <w:t xml:space="preserve">Rahibə Əbdülhəsənova. </w:t>
            </w:r>
            <w:r>
              <w:rPr>
                <w:rFonts w:ascii="Times New Roman" w:cs="Times New Roman" w:hAnsi="Times New Roman"/>
                <w:b w:val="off"/>
                <w:bCs w:val="off"/>
                <w:color w:val="000000"/>
                <w:sz w:val="20"/>
                <w:szCs w:val="20"/>
                <w:rtl w:val="off"/>
                <w:lang w:val="az-Cyrl-AZ"/>
              </w:rPr>
              <w:t>“</w:t>
            </w:r>
            <w:r>
              <w:rPr>
                <w:rFonts w:ascii="Times New Roman" w:cs="Times New Roman" w:hAnsi="Times New Roman"/>
                <w:color w:val="000000"/>
                <w:sz w:val="20"/>
                <w:szCs w:val="20"/>
                <w:rtl w:val="off"/>
                <w:lang w:val="az-Cyrl-AZ"/>
              </w:rPr>
              <w:t>ENERJI, TICARƏT VƏ İNFRASTRUKTUR: ZƏNGƏZUR DƏHLIZININ NAXÇIVANA TƏSIRI”</w:t>
            </w:r>
          </w:p>
          <w:p w14:paraId="0000008D">
            <w:pPr>
              <w:framePr w:w="0" w:h="0" w:vAnchor="margin" w:hAnchor="text" w:x="0" w:y="0"/>
              <w:pBdr>
                <w:top w:val="none" w:sz="4" w:space="0"/>
                <w:left w:val="none" w:sz="4" w:space="0"/>
                <w:bottom w:val="none" w:sz="4" w:space="0"/>
                <w:right w:val="none" w:sz="4" w:space="0"/>
                <w:between w:val="none" w:sz="4" w:space="0"/>
                <w:bar w:val="none" w:sz="4" w:space="0"/>
              </w:pBdr>
              <w:shd w:val="clear" w:fill="auto"/>
              <w:bidi w:val="off"/>
              <w:spacing w:before="0" w:after="0" w:line="240" w:lineRule="auto"/>
              <w:ind w:left="0" w:right="0" w:firstLine="0"/>
              <w:jc w:val="left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color w:val="000000"/>
                <w:sz w:val="20"/>
                <w:szCs w:val="20"/>
                <w:rtl w:val="off"/>
                <w:lang w:val="en-US"/>
              </w:rPr>
              <w:t>ZENGEZUR KORİDORU: TÜRKİYE-AZERBAYCAN-NAHCİVAN EKONOMİK, DIŞ TİCARET VE LOJİSTİK BAĞLANTILARI  Səh</w:t>
            </w:r>
            <w:r>
              <w:rPr>
                <w:rFonts w:ascii="Times New Roman" w:cs="Times New Roman" w:hAnsi="Times New Roman"/>
                <w:color w:val="000000"/>
                <w:sz w:val="20"/>
                <w:szCs w:val="20"/>
                <w:rtl w:val="off"/>
                <w:lang w:val="az-Cyrl-AZ"/>
              </w:rPr>
              <w:t>. 403-420</w:t>
            </w:r>
          </w:p>
        </w:tc>
      </w:tr>
    </w:tbl>
    <w:p w14:paraId="0000008E">
      <w:pPr>
        <w:pStyle w:val="ListParagraph"/>
        <w:numPr>
          <w:ilvl w:val="0"/>
          <w:numId w:val="1"/>
        </w:numPr>
        <w:rPr>
          <w:rFonts w:ascii="Times New Roman" w:cs="Times New Roman" w:hAnsi="Times New Roman"/>
          <w:b/>
          <w:color w:val="0070c0"/>
        </w:rPr>
      </w:pPr>
      <w:r>
        <w:rPr>
          <w:rFonts w:ascii="Times New Roman" w:cs="Times New Roman" w:hAnsi="Times New Roman"/>
          <w:b/>
          <w:color w:val="0070c0"/>
        </w:rPr>
        <w:t>ƏLAQƏ</w:t>
      </w:r>
    </w:p>
    <w:tbl>
      <w:tblPr>
        <w:tblStyle w:val="TableGrid"/>
        <w:tblW w:w="8730" w:type="dxa"/>
        <w:tblInd w:w="805" w:type="dxa"/>
        <w:tblLook w:val="04A0"/>
      </w:tblPr>
      <w:tblGrid>
        <w:gridCol w:w="2122"/>
        <w:gridCol w:w="6608"/>
      </w:tblGrid>
      <w:tr>
        <w:trPr/>
        <w:tc>
          <w:tcPr>
            <w:cnfStyle w:val="101000000000"/>
            <w:tcW w:w="2122" w:type="dxa"/>
          </w:tcPr>
          <w:p w14:paraId="0000008F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İnstitusional e-poçt:</w:t>
            </w:r>
          </w:p>
        </w:tc>
        <w:tc>
          <w:tcPr>
            <w:cnfStyle w:val="100000000000"/>
            <w:tcW w:w="6608" w:type="dxa"/>
          </w:tcPr>
          <w:p w14:paraId="00000090">
            <w:pPr>
              <w:rPr>
                <w:rFonts w:ascii="Times New Roman" w:cs="Times New Roman" w:hAnsi="Times New Roman"/>
                <w:sz w:val="20"/>
                <w:lang w:val="en-US"/>
              </w:rPr>
            </w:pPr>
            <w:r>
              <w:rPr>
                <w:rFonts w:ascii="Times New Roman" w:cs="Times New Roman" w:hAnsi="Times New Roman"/>
                <w:sz w:val="20"/>
              </w:rPr>
              <w:t>ebdulhesenovarahibe</w:t>
            </w:r>
            <w:r>
              <w:rPr>
                <w:rFonts w:ascii="Times New Roman" w:cs="Times New Roman" w:hAnsi="Times New Roman"/>
                <w:sz w:val="20"/>
                <w:lang w:val="en-US"/>
              </w:rPr>
              <w:t>@ndu.edu.az</w:t>
            </w:r>
          </w:p>
        </w:tc>
      </w:tr>
      <w:tr>
        <w:trPr/>
        <w:tc>
          <w:tcPr>
            <w:cnfStyle w:val="001000100000"/>
            <w:tcW w:w="2122" w:type="dxa"/>
          </w:tcPr>
          <w:p w14:paraId="00000091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Digər e-poçt:</w:t>
            </w:r>
          </w:p>
        </w:tc>
        <w:tc>
          <w:tcPr>
            <w:cnfStyle w:val="000000100000"/>
            <w:tcW w:w="6608" w:type="dxa"/>
          </w:tcPr>
          <w:p w14:paraId="00000092">
            <w:pPr>
              <w:rPr>
                <w:rFonts w:ascii="Times New Roman" w:cs="Times New Roman" w:hAnsi="Times New Roman"/>
                <w:sz w:val="20"/>
                <w:lang w:val="en-US"/>
              </w:rPr>
            </w:pPr>
            <w:r>
              <w:rPr>
                <w:rFonts w:ascii="Times New Roman" w:cs="Times New Roman" w:hAnsi="Times New Roman"/>
                <w:sz w:val="20"/>
              </w:rPr>
              <w:t>Abdulhasanovarahiba</w:t>
            </w:r>
            <w:r>
              <w:rPr>
                <w:rFonts w:ascii="Times New Roman" w:cs="Times New Roman" w:hAnsi="Times New Roman"/>
                <w:sz w:val="20"/>
                <w:lang w:val="en-US"/>
              </w:rPr>
              <w:t>@gmail.com</w:t>
            </w:r>
          </w:p>
        </w:tc>
      </w:tr>
      <w:tr>
        <w:trPr/>
        <w:tc>
          <w:tcPr>
            <w:cnfStyle w:val="001000010000"/>
            <w:tcW w:w="2122" w:type="dxa"/>
          </w:tcPr>
          <w:p w14:paraId="00000093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Mobil:</w:t>
            </w:r>
          </w:p>
        </w:tc>
        <w:tc>
          <w:tcPr>
            <w:cnfStyle w:val="000000010000"/>
            <w:tcW w:w="6608" w:type="dxa"/>
          </w:tcPr>
          <w:p w14:paraId="00000094">
            <w:pPr>
              <w:rPr>
                <w:rFonts w:ascii="Times New Roman" w:cs="Times New Roman" w:hAnsi="Times New Roman"/>
                <w:sz w:val="20"/>
              </w:rPr>
            </w:pPr>
            <w:r>
              <w:rPr>
                <w:rFonts w:ascii="Times New Roman" w:cs="Times New Roman" w:hAnsi="Times New Roman"/>
                <w:sz w:val="20"/>
              </w:rPr>
              <w:t>+994 50 7325517</w:t>
            </w:r>
          </w:p>
        </w:tc>
      </w:tr>
      <w:tr>
        <w:trPr/>
        <w:tc>
          <w:tcPr>
            <w:cnfStyle w:val="001000100000"/>
            <w:tcW w:w="2122" w:type="dxa"/>
          </w:tcPr>
          <w:p w14:paraId="00000095">
            <w:pPr>
              <w:rPr>
                <w:rFonts w:ascii="Times New Roman" w:cs="Times New Roman" w:hAnsi="Times New Roman"/>
                <w:b/>
                <w:sz w:val="20"/>
              </w:rPr>
            </w:pPr>
            <w:r>
              <w:rPr>
                <w:rFonts w:ascii="Times New Roman" w:cs="Times New Roman" w:hAnsi="Times New Roman"/>
                <w:b/>
                <w:sz w:val="20"/>
              </w:rPr>
              <w:t>Yaşayış ünvanı:</w:t>
            </w:r>
          </w:p>
        </w:tc>
        <w:tc>
          <w:tcPr>
            <w:cnfStyle w:val="000000100000"/>
            <w:tcW w:w="6608" w:type="dxa"/>
          </w:tcPr>
          <w:p w14:paraId="00000096">
            <w:pPr>
              <w:rPr>
                <w:rFonts w:ascii="Times New Roman" w:cs="Times New Roman" w:hAnsi="Times New Roman"/>
                <w:sz w:val="20"/>
              </w:rPr>
            </w:pPr>
            <w:r>
              <w:rPr>
                <w:rFonts w:ascii="Times New Roman" w:cs="Times New Roman" w:hAnsi="Times New Roman"/>
                <w:sz w:val="20"/>
              </w:rPr>
              <w:t>Azərbaycan Respublikası, Naxçıvan Muxtar Respublikası, Naxçıvan şəhəri, Sabir küçəsi</w:t>
            </w:r>
          </w:p>
        </w:tc>
      </w:tr>
    </w:tbl>
    <w:p w14:paraId="00000097">
      <w:pPr>
        <w:rPr>
          <w:rFonts w:ascii="Times New Roman" w:cs="Times New Roman" w:hAnsi="Times New Roman"/>
        </w:rPr>
      </w:pPr>
    </w:p>
    <w:sectPr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Times Roman AzLat">
    <w:charset w:val="cc"/>
    <w:family w:val="roman"/>
    <w:pitch w:val="variable"/>
    <w:sig w:usb0="00000201" w:usb1="00000000" w:usb2="00000000" w:usb3="00000000" w:csb0="00000004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6E"/>
    <w:rsid w:val="00027068"/>
    <w:rsid w:val="00037685"/>
    <w:rsid w:val="000562D9"/>
    <w:rsid w:val="000B5621"/>
    <w:rsid w:val="00122908"/>
    <w:rsid w:val="00152DC0"/>
    <w:rsid w:val="00192415"/>
    <w:rsid w:val="001C0B9E"/>
    <w:rsid w:val="001F3CA1"/>
    <w:rsid w:val="0022286A"/>
    <w:rsid w:val="00240B8C"/>
    <w:rsid w:val="002545F3"/>
    <w:rsid w:val="002E2B6E"/>
    <w:rsid w:val="003305C6"/>
    <w:rsid w:val="00361238"/>
    <w:rsid w:val="00372940"/>
    <w:rsid w:val="003D5F00"/>
    <w:rsid w:val="00431D86"/>
    <w:rsid w:val="00483818"/>
    <w:rsid w:val="004B7888"/>
    <w:rsid w:val="004E3927"/>
    <w:rsid w:val="0055146C"/>
    <w:rsid w:val="005B7FD1"/>
    <w:rsid w:val="005D5118"/>
    <w:rsid w:val="00686A81"/>
    <w:rsid w:val="006A147B"/>
    <w:rsid w:val="007F3662"/>
    <w:rsid w:val="00824F76"/>
    <w:rsid w:val="00847CC1"/>
    <w:rsid w:val="00871443"/>
    <w:rsid w:val="008C4E21"/>
    <w:rsid w:val="00950AA6"/>
    <w:rsid w:val="00995F95"/>
    <w:rsid w:val="00A74857"/>
    <w:rsid w:val="00A87A7B"/>
    <w:rsid w:val="00AA1DC1"/>
    <w:rsid w:val="00AA35BB"/>
    <w:rsid w:val="00B55690"/>
    <w:rsid w:val="00BA363D"/>
    <w:rsid w:val="00D0088A"/>
    <w:rsid w:val="00E0137F"/>
    <w:rsid w:val="00E4300C"/>
    <w:rsid w:val="00E76E36"/>
    <w:rsid w:val="00E9083A"/>
    <w:rsid w:val="00EC5BE9"/>
    <w:rsid w:val="00FC69B3"/>
    <w:rsid w:val="00F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F5570"/>
  <w15:chartTrackingRefBased/>
  <w15:docId w15:val="{7828929C-2B1B-4017-BD7E-8507E443DD9B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az-Latn-AZ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paragraph" w:styleId="Heading3">
    <w:name w:val="Heading 3"/>
    <w:basedOn w:val="Normal"/>
    <w:next w:val="Normal"/>
    <w:link w:val="Heading3Char"/>
    <w:uiPriority w:val="9"/>
    <w:unhideWhenUsed w:val="on"/>
    <w:qFormat w:val="on"/>
    <w:pPr>
      <w:keepNext w:val="on"/>
      <w:keepLines w:val="on"/>
      <w:spacing w:before="40" w:after="0"/>
    </w:pPr>
    <w:rPr>
      <w:rFonts w:asciiTheme="majorHAnsi" w:cstheme="majorBidi" w:eastAsiaTheme="majorEastAsia" w:hAnsiTheme="majorHAnsi"/>
      <w:color w:val="1f4d77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24"/>
      <w:szCs w:val="24"/>
      <w:lang w:eastAsia="az-Latn-AZ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cs="Times New Roman" w:eastAsia="Times New Roman" w:hAnsi="Times New Roman"/>
      <w:b/>
      <w:bCs/>
      <w:sz w:val="24"/>
      <w:szCs w:val="24"/>
      <w:lang w:eastAsia="az-Latn-AZ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customStyle="1" w:styleId="ListeParagraf">
    <w:name w:val="Liste Paragraf"/>
    <w:basedOn w:val="Normal"/>
    <w:uiPriority w:val="34"/>
    <w:qFormat w:val="on"/>
    <w:pPr>
      <w:spacing w:after="200" w:line="276" w:lineRule="auto"/>
      <w:ind w:left="720"/>
      <w:contextualSpacing w:val="on"/>
    </w:pPr>
    <w:rPr>
      <w:rFonts w:ascii="Calibri" w:cs="Times New Roman" w:eastAsia="Calibri" w:hAnsi="Calibri"/>
      <w:lang w:val="en-US"/>
    </w:rPr>
  </w:style>
  <w:style w:type="paragraph" w:styleId="BodyText">
    <w:name w:val="Body Text"/>
    <w:basedOn w:val="Normal"/>
    <w:link w:val="BodyTextChar"/>
    <w:uiPriority w:val="99"/>
    <w:pPr>
      <w:tabs>
        <w:tab w:val="left" w:pos="6876"/>
      </w:tabs>
      <w:spacing w:after="0" w:line="360" w:lineRule="auto"/>
      <w:jc w:val="both"/>
    </w:pPr>
    <w:rPr>
      <w:rFonts w:ascii="Times Roman AzLat" w:cs="Times New Roman" w:eastAsia="Times New Roman" w:hAnsi="Times Roman AzLat"/>
      <w:sz w:val="28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Roman AzLat" w:cs="Times New Roman" w:eastAsia="Times New Roman" w:hAnsi="Times Roman AzLat"/>
      <w:sz w:val="28"/>
      <w:szCs w:val="20"/>
      <w:lang w:val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Century Schoolbook" w:cs="Century Schoolbook" w:eastAsia="Times New Roman" w:hAnsi="Century Schoolbook"/>
      <w:color w:val="000000"/>
      <w:sz w:val="24"/>
      <w:szCs w:val="24"/>
      <w:lang w:val="en-US"/>
    </w:rPr>
  </w:style>
  <w:style w:type="character" w:customStyle="1" w:styleId="Smtxt">
    <w:name w:val="Smtxt"/>
    <w:basedOn w:val="DefaultParagraphFont"/>
    <w:uiPriority w:val="99"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color w:val="1f4d77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openxmlformats.org/officeDocument/2006/relationships/image" Target="media/image1.png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" Type="http://schemas.openxmlformats.org/officeDocument/2006/relationships/settings" Target="settings.xml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4" Type="http://schemas.openxmlformats.org/officeDocument/2006/relationships/webSettings" Target="webSettings.xml"/><Relationship Id="rId7" Type="http://schemas.openxmlformats.org/officeDocument/2006/relationships/hyperlink" Target="mailto:ebdulhesenovarahibe@ndu.edu.az" TargetMode="External"/><Relationship Id="rId8" Type="http://schemas.openxmlformats.org/officeDocument/2006/relationships/hyperlink" Target="mailto:abdulhasanovarahiba@gmail.com" TargetMode="External"/><Relationship Id="rId11" Type="http://schemas.openxmlformats.org/officeDocument/2006/relationships/hyperlink" Target="https://orcid.org/0000-0003-2892-2974" TargetMode="External"/><Relationship Id="rId13" Type="http://schemas.openxmlformats.org/officeDocument/2006/relationships/hyperlink" Target="https://orcid.org/0009-0003-8702-7766" TargetMode="External"/><Relationship Id="rId14" Type="http://schemas.openxmlformats.org/officeDocument/2006/relationships/hyperlink" Target="https://www.scopus.com/authid/detail.uri?authorId=57215409021" TargetMode="External"/><Relationship Id="rId16" Type="http://schemas.openxmlformats.org/officeDocument/2006/relationships/hyperlink" Target="https://id.elsevier.com/settings/redirect?code=QuW9RGvsN-4cC_CiVdxj54sNJCOh4l5t0XJsOmWO" TargetMode="External"/><Relationship Id="rId17" Type="http://schemas.openxmlformats.org/officeDocument/2006/relationships/hyperlink" Target="https://www.webofscience.com/wos/author/record/IAM-6109-2023" TargetMode="External"/><Relationship Id="rId19" Type="http://schemas.openxmlformats.org/officeDocument/2006/relationships/hyperlink" Target="https://www.researchgate.net/profile/Rahiba-Abdulhasanova-2" TargetMode="External"/><Relationship Id="rId20" Type="http://schemas.openxmlformats.org/officeDocument/2006/relationships/hyperlink" Target="https://scholar.google.com/citations?user=qlgUjhgAAAAJ&amp;hl=tr" TargetMode="External"/><Relationship Id="rId22" Type="http://schemas.openxmlformats.org/officeDocument/2006/relationships/hyperlink" Target="https://scholar.google.ca/citations?user=5OmDxwcAAAAJ&amp;hl=ru" TargetMode="Externa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Rahiba Abdulhasanova</cp:lastModifiedBy>
</cp:coreProperties>
</file>